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9A39F" w14:textId="77777777" w:rsidR="00EA3540" w:rsidRPr="00E062A3" w:rsidRDefault="00EA3540" w:rsidP="00EA3540">
      <w:pPr>
        <w:pStyle w:val="BodyA"/>
        <w:rPr>
          <w:rFonts w:ascii="Arial" w:eastAsia="Arial" w:hAnsi="Arial" w:cs="Arial"/>
          <w:b/>
          <w:bCs/>
          <w:sz w:val="20"/>
          <w:szCs w:val="20"/>
        </w:rPr>
      </w:pPr>
      <w:r>
        <w:rPr>
          <w:rFonts w:ascii="Arial" w:hAnsi="Arial"/>
          <w:b/>
          <w:bCs/>
          <w:sz w:val="20"/>
          <w:szCs w:val="20"/>
        </w:rPr>
        <w:t>23</w:t>
      </w:r>
      <w:r w:rsidRPr="00E062A3">
        <w:rPr>
          <w:rFonts w:ascii="Arial" w:hAnsi="Arial"/>
          <w:b/>
          <w:bCs/>
          <w:sz w:val="20"/>
          <w:szCs w:val="20"/>
        </w:rPr>
        <w:t xml:space="preserve"> </w:t>
      </w:r>
      <w:r>
        <w:rPr>
          <w:rFonts w:ascii="Arial" w:hAnsi="Arial"/>
          <w:b/>
          <w:bCs/>
          <w:sz w:val="20"/>
          <w:szCs w:val="20"/>
        </w:rPr>
        <w:t xml:space="preserve">July </w:t>
      </w:r>
      <w:r w:rsidRPr="00E062A3">
        <w:rPr>
          <w:rFonts w:ascii="Arial" w:hAnsi="Arial"/>
          <w:b/>
          <w:bCs/>
          <w:sz w:val="20"/>
          <w:szCs w:val="20"/>
        </w:rPr>
        <w:t>201</w:t>
      </w:r>
      <w:r>
        <w:rPr>
          <w:rFonts w:ascii="Arial" w:hAnsi="Arial"/>
          <w:b/>
          <w:bCs/>
          <w:sz w:val="20"/>
          <w:szCs w:val="20"/>
        </w:rPr>
        <w:t>9</w:t>
      </w:r>
    </w:p>
    <w:p w14:paraId="6D66D65D" w14:textId="77777777" w:rsidR="00EA3540" w:rsidRPr="00E062A3" w:rsidRDefault="00EA3540" w:rsidP="00EA3540">
      <w:pPr>
        <w:pStyle w:val="BodyA"/>
        <w:spacing w:after="0" w:line="240" w:lineRule="auto"/>
        <w:jc w:val="center"/>
        <w:rPr>
          <w:rFonts w:ascii="Arial" w:hAnsi="Arial"/>
          <w:b/>
          <w:bCs/>
          <w:sz w:val="20"/>
          <w:szCs w:val="20"/>
          <w:lang w:val="de-DE"/>
        </w:rPr>
      </w:pPr>
      <w:r w:rsidRPr="00E062A3">
        <w:rPr>
          <w:rFonts w:ascii="Arial" w:hAnsi="Arial"/>
          <w:b/>
          <w:bCs/>
          <w:sz w:val="20"/>
          <w:szCs w:val="20"/>
          <w:lang w:val="de-DE"/>
        </w:rPr>
        <w:t>Fevertree Drinks plc</w:t>
      </w:r>
    </w:p>
    <w:p w14:paraId="1D3A9231" w14:textId="77777777" w:rsidR="00EA3540" w:rsidRPr="00E062A3" w:rsidRDefault="00EA3540" w:rsidP="00EA3540">
      <w:pPr>
        <w:pStyle w:val="BodyA"/>
        <w:spacing w:after="0" w:line="240" w:lineRule="auto"/>
        <w:jc w:val="center"/>
        <w:rPr>
          <w:rFonts w:ascii="Arial" w:eastAsia="Arial" w:hAnsi="Arial" w:cs="Arial"/>
          <w:b/>
          <w:bCs/>
          <w:sz w:val="20"/>
          <w:szCs w:val="20"/>
        </w:rPr>
      </w:pPr>
      <w:r w:rsidRPr="00E062A3">
        <w:rPr>
          <w:rFonts w:ascii="Arial" w:hAnsi="Arial"/>
          <w:b/>
          <w:bCs/>
          <w:sz w:val="20"/>
          <w:szCs w:val="20"/>
          <w:lang w:val="de-DE"/>
        </w:rPr>
        <w:t xml:space="preserve"> (</w:t>
      </w:r>
      <w:r w:rsidRPr="00E062A3">
        <w:rPr>
          <w:rFonts w:ascii="Arial" w:hAnsi="Arial"/>
          <w:b/>
          <w:bCs/>
          <w:sz w:val="20"/>
          <w:szCs w:val="20"/>
          <w:lang w:val="en-US"/>
        </w:rPr>
        <w:t>“</w:t>
      </w:r>
      <w:r w:rsidRPr="00E062A3">
        <w:rPr>
          <w:rFonts w:ascii="Arial" w:hAnsi="Arial"/>
          <w:b/>
          <w:bCs/>
          <w:sz w:val="20"/>
          <w:szCs w:val="20"/>
          <w:lang w:val="pt-PT"/>
        </w:rPr>
        <w:t>Fever-Tree</w:t>
      </w:r>
      <w:r w:rsidRPr="00E062A3">
        <w:rPr>
          <w:rFonts w:ascii="Arial" w:hAnsi="Arial"/>
          <w:b/>
          <w:bCs/>
          <w:sz w:val="20"/>
          <w:szCs w:val="20"/>
          <w:lang w:val="en-US"/>
        </w:rPr>
        <w:t>”, the “Group” or the “Company”</w:t>
      </w:r>
      <w:r w:rsidRPr="00E062A3">
        <w:rPr>
          <w:rFonts w:ascii="Arial" w:hAnsi="Arial"/>
          <w:b/>
          <w:bCs/>
          <w:sz w:val="20"/>
          <w:szCs w:val="20"/>
        </w:rPr>
        <w:t>)</w:t>
      </w:r>
    </w:p>
    <w:p w14:paraId="6B07248F" w14:textId="77777777" w:rsidR="00EA3540" w:rsidRPr="00E062A3" w:rsidRDefault="00EA3540" w:rsidP="00EA3540">
      <w:pPr>
        <w:pStyle w:val="BodyA"/>
        <w:spacing w:after="0" w:line="240" w:lineRule="auto"/>
        <w:jc w:val="center"/>
        <w:rPr>
          <w:rFonts w:ascii="Arial" w:eastAsia="Arial" w:hAnsi="Arial" w:cs="Arial"/>
          <w:b/>
          <w:bCs/>
          <w:sz w:val="20"/>
          <w:szCs w:val="20"/>
        </w:rPr>
      </w:pPr>
    </w:p>
    <w:p w14:paraId="0C127C16" w14:textId="77777777" w:rsidR="00EA3540" w:rsidRPr="00E062A3" w:rsidRDefault="00EA3540" w:rsidP="00EA3540">
      <w:pPr>
        <w:pStyle w:val="BodyA"/>
        <w:jc w:val="center"/>
        <w:rPr>
          <w:rStyle w:val="af"/>
          <w:b/>
        </w:rPr>
      </w:pPr>
      <w:r>
        <w:rPr>
          <w:rStyle w:val="af"/>
          <w:b/>
        </w:rPr>
        <w:t>Interim Results</w:t>
      </w:r>
    </w:p>
    <w:p w14:paraId="3C2F0E77" w14:textId="77777777" w:rsidR="00EA3540" w:rsidRDefault="00EA3540" w:rsidP="00EA3540">
      <w:pPr>
        <w:pStyle w:val="hg"/>
        <w:spacing w:before="0" w:beforeAutospacing="0" w:after="0" w:afterAutospacing="0"/>
        <w:jc w:val="both"/>
        <w:rPr>
          <w:rFonts w:ascii="Calibri" w:hAnsi="Calibri" w:cs="Calibri"/>
          <w:color w:val="000000"/>
          <w:sz w:val="22"/>
          <w:szCs w:val="22"/>
        </w:rPr>
      </w:pPr>
      <w:r>
        <w:rPr>
          <w:rStyle w:val="ha"/>
          <w:rFonts w:ascii="Arial" w:hAnsi="Arial" w:cs="Arial"/>
          <w:color w:val="000000"/>
          <w:sz w:val="20"/>
          <w:szCs w:val="20"/>
        </w:rPr>
        <w:t>Fever-Tree, the world's leading supplier of premium carbonated mixers today announces its Interim Results for the period ended 30 June 2019.</w:t>
      </w:r>
    </w:p>
    <w:p w14:paraId="744AC717" w14:textId="77777777" w:rsidR="00EA3540" w:rsidRDefault="00EA3540" w:rsidP="00EA3540">
      <w:pPr>
        <w:pStyle w:val="hg"/>
        <w:spacing w:before="0" w:beforeAutospacing="0" w:after="0" w:afterAutospacing="0"/>
        <w:jc w:val="both"/>
        <w:rPr>
          <w:rFonts w:ascii="Calibri" w:hAnsi="Calibri" w:cs="Calibri"/>
          <w:color w:val="000000"/>
          <w:sz w:val="22"/>
          <w:szCs w:val="22"/>
        </w:rPr>
      </w:pPr>
      <w:r>
        <w:rPr>
          <w:rStyle w:val="ha"/>
          <w:rFonts w:ascii="Arial" w:hAnsi="Arial" w:cs="Arial"/>
          <w:color w:val="000000"/>
          <w:sz w:val="20"/>
          <w:szCs w:val="20"/>
        </w:rPr>
        <w:t> </w:t>
      </w:r>
    </w:p>
    <w:p w14:paraId="73C4B1B7" w14:textId="77777777" w:rsidR="00EA3540" w:rsidRPr="00007B97" w:rsidRDefault="00EA3540" w:rsidP="00EA3540">
      <w:pPr>
        <w:pStyle w:val="hg"/>
        <w:spacing w:before="0" w:beforeAutospacing="0" w:after="0" w:afterAutospacing="0"/>
        <w:jc w:val="both"/>
        <w:rPr>
          <w:rFonts w:ascii="Calibri" w:hAnsi="Calibri" w:cs="Calibri"/>
          <w:b/>
          <w:bCs/>
          <w:color w:val="000000"/>
          <w:sz w:val="22"/>
          <w:szCs w:val="22"/>
        </w:rPr>
      </w:pPr>
      <w:r w:rsidRPr="00007B97">
        <w:rPr>
          <w:rStyle w:val="ha"/>
          <w:rFonts w:ascii="Arial" w:hAnsi="Arial" w:cs="Arial"/>
          <w:b/>
          <w:bCs/>
          <w:color w:val="000000"/>
          <w:sz w:val="20"/>
          <w:szCs w:val="20"/>
        </w:rPr>
        <w:t>Financial Highlights:</w:t>
      </w:r>
    </w:p>
    <w:p w14:paraId="5BE2BD21" w14:textId="77777777" w:rsidR="00EA3540" w:rsidRDefault="00EA3540" w:rsidP="00EA3540">
      <w:pPr>
        <w:pStyle w:val="hg"/>
        <w:spacing w:before="0" w:beforeAutospacing="0" w:after="0" w:afterAutospacing="0"/>
        <w:jc w:val="both"/>
        <w:rPr>
          <w:rFonts w:ascii="Calibri" w:hAnsi="Calibri" w:cs="Calibri"/>
          <w:color w:val="000000"/>
          <w:sz w:val="22"/>
          <w:szCs w:val="22"/>
        </w:rPr>
      </w:pPr>
      <w:r>
        <w:rPr>
          <w:rStyle w:val="ha"/>
          <w:rFonts w:ascii="Arial" w:hAnsi="Arial" w:cs="Arial"/>
          <w:color w:val="000000"/>
          <w:sz w:val="20"/>
          <w:szCs w:val="20"/>
        </w:rPr>
        <w:t> </w:t>
      </w:r>
    </w:p>
    <w:p w14:paraId="247E7A60" w14:textId="77777777" w:rsidR="00EA3540" w:rsidRDefault="00EA3540" w:rsidP="00EA3540">
      <w:pPr>
        <w:pStyle w:val="hh"/>
        <w:numPr>
          <w:ilvl w:val="0"/>
          <w:numId w:val="5"/>
        </w:numPr>
        <w:spacing w:before="0" w:beforeAutospacing="0" w:after="0" w:afterAutospacing="0"/>
        <w:rPr>
          <w:rFonts w:ascii="Calibri" w:hAnsi="Calibri" w:cs="Calibri"/>
          <w:color w:val="000000"/>
          <w:sz w:val="22"/>
          <w:szCs w:val="22"/>
        </w:rPr>
      </w:pPr>
      <w:r>
        <w:rPr>
          <w:rStyle w:val="ha"/>
          <w:rFonts w:ascii="Arial" w:hAnsi="Arial" w:cs="Arial"/>
          <w:color w:val="000000"/>
          <w:sz w:val="20"/>
          <w:szCs w:val="20"/>
        </w:rPr>
        <w:t>Revenue up 13% to £117.3m (H1 2018: £104.2m)</w:t>
      </w:r>
    </w:p>
    <w:p w14:paraId="2329711F" w14:textId="77777777" w:rsidR="00EA3540" w:rsidRDefault="00EA3540" w:rsidP="00EA3540">
      <w:pPr>
        <w:pStyle w:val="hh"/>
        <w:numPr>
          <w:ilvl w:val="0"/>
          <w:numId w:val="5"/>
        </w:numPr>
        <w:spacing w:before="0" w:beforeAutospacing="0" w:after="0" w:afterAutospacing="0"/>
        <w:rPr>
          <w:rFonts w:ascii="Calibri" w:hAnsi="Calibri" w:cs="Calibri"/>
          <w:color w:val="000000"/>
          <w:sz w:val="22"/>
          <w:szCs w:val="22"/>
        </w:rPr>
      </w:pPr>
      <w:r>
        <w:rPr>
          <w:rStyle w:val="ha"/>
          <w:rFonts w:ascii="Arial" w:hAnsi="Arial" w:cs="Arial"/>
          <w:color w:val="000000"/>
          <w:sz w:val="20"/>
          <w:szCs w:val="20"/>
        </w:rPr>
        <w:t>Gross margin of 51.9% (H1 2018: 53.2%)</w:t>
      </w:r>
    </w:p>
    <w:p w14:paraId="07E5673D" w14:textId="77777777" w:rsidR="00EA3540" w:rsidRDefault="00EA3540" w:rsidP="00EA3540">
      <w:pPr>
        <w:pStyle w:val="hh"/>
        <w:numPr>
          <w:ilvl w:val="0"/>
          <w:numId w:val="5"/>
        </w:numPr>
        <w:spacing w:before="0" w:beforeAutospacing="0" w:after="0" w:afterAutospacing="0"/>
        <w:rPr>
          <w:rFonts w:ascii="Calibri" w:hAnsi="Calibri" w:cs="Calibri"/>
          <w:color w:val="000000"/>
          <w:sz w:val="22"/>
          <w:szCs w:val="22"/>
        </w:rPr>
      </w:pPr>
      <w:r>
        <w:rPr>
          <w:rStyle w:val="ha"/>
          <w:rFonts w:ascii="Arial" w:hAnsi="Arial" w:cs="Arial"/>
          <w:color w:val="000000"/>
          <w:sz w:val="20"/>
          <w:szCs w:val="20"/>
        </w:rPr>
        <w:t>Adjusted EBITDA</w:t>
      </w:r>
      <w:r>
        <w:rPr>
          <w:rStyle w:val="ha"/>
          <w:rFonts w:ascii="Arial" w:hAnsi="Arial" w:cs="Arial"/>
          <w:color w:val="000000"/>
          <w:sz w:val="16"/>
          <w:szCs w:val="16"/>
          <w:vertAlign w:val="superscript"/>
        </w:rPr>
        <w:t>1</w:t>
      </w:r>
      <w:r>
        <w:rPr>
          <w:rStyle w:val="ha"/>
          <w:rFonts w:ascii="Arial" w:hAnsi="Arial" w:cs="Arial"/>
          <w:color w:val="000000"/>
          <w:sz w:val="20"/>
          <w:szCs w:val="20"/>
        </w:rPr>
        <w:t> up 8% to £36.7m (H1 2018: £34.0m)</w:t>
      </w:r>
    </w:p>
    <w:p w14:paraId="06B652C0" w14:textId="77777777" w:rsidR="00EA3540" w:rsidRDefault="00EA3540" w:rsidP="00EA3540">
      <w:pPr>
        <w:pStyle w:val="hh"/>
        <w:numPr>
          <w:ilvl w:val="0"/>
          <w:numId w:val="5"/>
        </w:numPr>
        <w:spacing w:before="0" w:beforeAutospacing="0" w:after="0" w:afterAutospacing="0"/>
        <w:rPr>
          <w:rFonts w:ascii="Calibri" w:hAnsi="Calibri" w:cs="Calibri"/>
          <w:color w:val="000000"/>
          <w:sz w:val="22"/>
          <w:szCs w:val="22"/>
        </w:rPr>
      </w:pPr>
      <w:r>
        <w:rPr>
          <w:rStyle w:val="ha"/>
          <w:rFonts w:ascii="Arial" w:hAnsi="Arial" w:cs="Arial"/>
          <w:color w:val="000000"/>
          <w:sz w:val="20"/>
          <w:szCs w:val="20"/>
        </w:rPr>
        <w:t>Net cash at period end of £104.1m (H1 2018: £56.4m)</w:t>
      </w:r>
    </w:p>
    <w:p w14:paraId="1B913D16" w14:textId="77777777" w:rsidR="00EA3540" w:rsidRDefault="00EA3540" w:rsidP="00EA3540">
      <w:pPr>
        <w:pStyle w:val="hh"/>
        <w:numPr>
          <w:ilvl w:val="0"/>
          <w:numId w:val="5"/>
        </w:numPr>
        <w:spacing w:before="0" w:beforeAutospacing="0" w:after="0" w:afterAutospacing="0"/>
        <w:rPr>
          <w:rFonts w:ascii="Calibri" w:hAnsi="Calibri" w:cs="Calibri"/>
          <w:color w:val="000000"/>
          <w:sz w:val="22"/>
          <w:szCs w:val="22"/>
        </w:rPr>
      </w:pPr>
      <w:r>
        <w:rPr>
          <w:rStyle w:val="ha"/>
          <w:rFonts w:ascii="Arial" w:hAnsi="Arial" w:cs="Arial"/>
          <w:color w:val="000000"/>
          <w:sz w:val="20"/>
          <w:szCs w:val="20"/>
        </w:rPr>
        <w:t xml:space="preserve">Diluted EPS up 7% to </w:t>
      </w:r>
      <w:r w:rsidRPr="00A57D48">
        <w:rPr>
          <w:rStyle w:val="ha"/>
          <w:rFonts w:ascii="Arial" w:hAnsi="Arial" w:cs="Arial"/>
          <w:color w:val="000000"/>
          <w:sz w:val="20"/>
          <w:szCs w:val="20"/>
        </w:rPr>
        <w:t>24.30</w:t>
      </w:r>
      <w:r w:rsidRPr="00C77B57">
        <w:rPr>
          <w:rStyle w:val="ha"/>
          <w:rFonts w:ascii="Arial" w:hAnsi="Arial" w:cs="Arial"/>
          <w:color w:val="000000"/>
          <w:sz w:val="20"/>
          <w:szCs w:val="20"/>
        </w:rPr>
        <w:t xml:space="preserve"> pence</w:t>
      </w:r>
      <w:r>
        <w:rPr>
          <w:rStyle w:val="ha"/>
          <w:rFonts w:ascii="Arial" w:hAnsi="Arial" w:cs="Arial"/>
          <w:color w:val="000000"/>
          <w:sz w:val="20"/>
          <w:szCs w:val="20"/>
        </w:rPr>
        <w:t xml:space="preserve"> (H1 2018: 22.72 pence)</w:t>
      </w:r>
    </w:p>
    <w:p w14:paraId="2DE12459" w14:textId="77777777" w:rsidR="00EA3540" w:rsidRDefault="00EA3540" w:rsidP="00EA3540">
      <w:pPr>
        <w:pStyle w:val="hh"/>
        <w:numPr>
          <w:ilvl w:val="0"/>
          <w:numId w:val="5"/>
        </w:numPr>
        <w:spacing w:before="0" w:beforeAutospacing="0" w:after="0" w:afterAutospacing="0"/>
        <w:rPr>
          <w:rFonts w:ascii="Calibri" w:hAnsi="Calibri" w:cs="Calibri"/>
          <w:color w:val="000000"/>
          <w:sz w:val="22"/>
          <w:szCs w:val="22"/>
        </w:rPr>
      </w:pPr>
      <w:r>
        <w:rPr>
          <w:rStyle w:val="ha"/>
          <w:rFonts w:ascii="Arial" w:hAnsi="Arial" w:cs="Arial"/>
          <w:color w:val="000000"/>
          <w:sz w:val="20"/>
          <w:szCs w:val="20"/>
        </w:rPr>
        <w:t>Interim dividend up 23% to 5.20 pence per share (H1 2018: 4.22 pence)</w:t>
      </w:r>
    </w:p>
    <w:p w14:paraId="313C3C61" w14:textId="34468A5C" w:rsidR="00EA3540" w:rsidRDefault="00EA3540" w:rsidP="00EA3540">
      <w:pPr>
        <w:pStyle w:val="hi"/>
        <w:spacing w:before="0" w:beforeAutospacing="0" w:after="0" w:afterAutospacing="0"/>
        <w:jc w:val="both"/>
        <w:rPr>
          <w:rStyle w:val="gx"/>
          <w:rFonts w:ascii="Arial" w:hAnsi="Arial" w:cs="Arial"/>
          <w:color w:val="000000"/>
          <w:sz w:val="20"/>
          <w:szCs w:val="20"/>
        </w:rPr>
      </w:pPr>
      <w:r w:rsidRPr="001D1465">
        <w:rPr>
          <w:rStyle w:val="gx"/>
          <w:rFonts w:ascii="Arial" w:hAnsi="Arial" w:cs="Arial"/>
          <w:color w:val="000000"/>
          <w:sz w:val="20"/>
          <w:szCs w:val="20"/>
        </w:rPr>
        <w:t> </w:t>
      </w:r>
    </w:p>
    <w:p w14:paraId="1136C2CB" w14:textId="5C94F6C4" w:rsidR="00007B97" w:rsidRPr="00007B97" w:rsidRDefault="00007B97" w:rsidP="00007B97">
      <w:pPr>
        <w:pStyle w:val="hg"/>
        <w:spacing w:before="0" w:beforeAutospacing="0" w:after="0" w:afterAutospacing="0"/>
        <w:jc w:val="both"/>
        <w:rPr>
          <w:rStyle w:val="gx"/>
          <w:rFonts w:ascii="Calibri" w:hAnsi="Calibri" w:cs="Calibri"/>
          <w:color w:val="000000"/>
          <w:sz w:val="16"/>
          <w:szCs w:val="16"/>
        </w:rPr>
      </w:pPr>
      <w:r w:rsidRPr="00007B97">
        <w:rPr>
          <w:rStyle w:val="ha"/>
          <w:rFonts w:ascii="Arial" w:hAnsi="Arial" w:cs="Arial"/>
          <w:color w:val="000000"/>
          <w:sz w:val="16"/>
          <w:szCs w:val="16"/>
          <w:vertAlign w:val="superscript"/>
        </w:rPr>
        <w:t>1 </w:t>
      </w:r>
      <w:r w:rsidRPr="00007B97">
        <w:rPr>
          <w:rStyle w:val="ha"/>
          <w:rFonts w:ascii="Arial" w:hAnsi="Arial" w:cs="Arial"/>
          <w:i/>
          <w:iCs/>
          <w:color w:val="000000"/>
          <w:sz w:val="16"/>
          <w:szCs w:val="16"/>
        </w:rPr>
        <w:t>Adjusted EBITDA is earnings before interest, tax, depreciation, amortisation, share based payment charges and finance costs</w:t>
      </w:r>
    </w:p>
    <w:p w14:paraId="0E613F17" w14:textId="77777777" w:rsidR="00007B97" w:rsidRPr="001D1465" w:rsidRDefault="00007B97" w:rsidP="00EA3540">
      <w:pPr>
        <w:pStyle w:val="hi"/>
        <w:spacing w:before="0" w:beforeAutospacing="0" w:after="0" w:afterAutospacing="0"/>
        <w:jc w:val="both"/>
        <w:rPr>
          <w:rFonts w:ascii="Arial" w:hAnsi="Arial" w:cs="Arial"/>
          <w:color w:val="000000"/>
          <w:sz w:val="20"/>
          <w:szCs w:val="20"/>
        </w:rPr>
      </w:pPr>
    </w:p>
    <w:p w14:paraId="6EE52B1B" w14:textId="77777777" w:rsidR="00EA3540" w:rsidRPr="00007B97" w:rsidRDefault="00EA3540" w:rsidP="00EA3540">
      <w:pPr>
        <w:pStyle w:val="hi"/>
        <w:spacing w:before="0" w:beforeAutospacing="0" w:after="0" w:afterAutospacing="0"/>
        <w:jc w:val="both"/>
        <w:rPr>
          <w:rFonts w:ascii="Arial" w:hAnsi="Arial" w:cs="Arial"/>
          <w:b/>
          <w:bCs/>
          <w:color w:val="000000"/>
          <w:sz w:val="20"/>
          <w:szCs w:val="20"/>
        </w:rPr>
      </w:pPr>
      <w:r w:rsidRPr="00007B97">
        <w:rPr>
          <w:rStyle w:val="gx"/>
          <w:rFonts w:ascii="Arial" w:hAnsi="Arial" w:cs="Arial"/>
          <w:b/>
          <w:bCs/>
          <w:color w:val="000000"/>
          <w:sz w:val="20"/>
          <w:szCs w:val="20"/>
        </w:rPr>
        <w:t>Operational Highlights:</w:t>
      </w:r>
    </w:p>
    <w:p w14:paraId="68B38ACA" w14:textId="77777777" w:rsidR="00EA3540" w:rsidRPr="001D1465" w:rsidRDefault="00EA3540" w:rsidP="00EA3540">
      <w:pPr>
        <w:pStyle w:val="hi"/>
        <w:spacing w:before="0" w:beforeAutospacing="0" w:after="0" w:afterAutospacing="0"/>
        <w:jc w:val="both"/>
        <w:rPr>
          <w:rFonts w:ascii="Arial" w:hAnsi="Arial" w:cs="Arial"/>
          <w:color w:val="000000"/>
          <w:sz w:val="20"/>
          <w:szCs w:val="20"/>
        </w:rPr>
      </w:pPr>
      <w:r w:rsidRPr="001D1465">
        <w:rPr>
          <w:rStyle w:val="gx"/>
          <w:rFonts w:ascii="Arial" w:hAnsi="Arial" w:cs="Arial"/>
          <w:color w:val="000000"/>
          <w:sz w:val="20"/>
          <w:szCs w:val="20"/>
        </w:rPr>
        <w:t> </w:t>
      </w:r>
    </w:p>
    <w:p w14:paraId="4AE05B72" w14:textId="77777777" w:rsidR="00EA3540" w:rsidRDefault="00EA3540" w:rsidP="00EA3540">
      <w:pPr>
        <w:pStyle w:val="hh"/>
        <w:numPr>
          <w:ilvl w:val="0"/>
          <w:numId w:val="10"/>
        </w:numPr>
        <w:spacing w:before="0" w:beforeAutospacing="0" w:after="0" w:afterAutospacing="0"/>
        <w:rPr>
          <w:rStyle w:val="ha"/>
          <w:rFonts w:ascii="Arial" w:hAnsi="Arial" w:cs="Arial"/>
          <w:color w:val="000000"/>
          <w:sz w:val="20"/>
          <w:szCs w:val="20"/>
        </w:rPr>
      </w:pPr>
      <w:r>
        <w:rPr>
          <w:rStyle w:val="ha"/>
          <w:rFonts w:ascii="Arial" w:hAnsi="Arial" w:cs="Arial"/>
          <w:color w:val="000000"/>
          <w:sz w:val="20"/>
          <w:szCs w:val="20"/>
        </w:rPr>
        <w:t>Continued growth across all four regions</w:t>
      </w:r>
    </w:p>
    <w:p w14:paraId="1C210C1E" w14:textId="1507324D" w:rsidR="00EA3540" w:rsidRPr="008D150E" w:rsidRDefault="00F95123" w:rsidP="00EA3540">
      <w:pPr>
        <w:pStyle w:val="hh"/>
        <w:numPr>
          <w:ilvl w:val="0"/>
          <w:numId w:val="10"/>
        </w:numPr>
        <w:spacing w:before="0" w:beforeAutospacing="0" w:after="0" w:afterAutospacing="0"/>
        <w:rPr>
          <w:rStyle w:val="ha"/>
          <w:rFonts w:ascii="Arial" w:hAnsi="Arial" w:cs="Arial"/>
          <w:color w:val="000000"/>
          <w:sz w:val="20"/>
          <w:szCs w:val="20"/>
        </w:rPr>
      </w:pPr>
      <w:r>
        <w:rPr>
          <w:rStyle w:val="ha"/>
          <w:rFonts w:ascii="Arial" w:hAnsi="Arial" w:cs="Arial"/>
          <w:color w:val="000000"/>
          <w:sz w:val="20"/>
          <w:szCs w:val="20"/>
        </w:rPr>
        <w:t>Strengthened our position as the no. 1 brand across the UK mixer category, driving growth in both the Off and On</w:t>
      </w:r>
      <w:r w:rsidR="00505CD8">
        <w:rPr>
          <w:rStyle w:val="ha"/>
          <w:rFonts w:ascii="Arial" w:hAnsi="Arial" w:cs="Arial"/>
          <w:color w:val="000000"/>
          <w:sz w:val="20"/>
          <w:szCs w:val="20"/>
        </w:rPr>
        <w:t>-</w:t>
      </w:r>
      <w:r>
        <w:rPr>
          <w:rStyle w:val="ha"/>
          <w:rFonts w:ascii="Arial" w:hAnsi="Arial" w:cs="Arial"/>
          <w:color w:val="000000"/>
          <w:sz w:val="20"/>
          <w:szCs w:val="20"/>
        </w:rPr>
        <w:t>Trade</w:t>
      </w:r>
      <w:r w:rsidR="00EA3540">
        <w:rPr>
          <w:rStyle w:val="ha"/>
          <w:rFonts w:ascii="Arial" w:hAnsi="Arial" w:cs="Arial"/>
          <w:color w:val="000000"/>
          <w:sz w:val="20"/>
          <w:szCs w:val="20"/>
        </w:rPr>
        <w:t xml:space="preserve">* </w:t>
      </w:r>
    </w:p>
    <w:p w14:paraId="3ADA9D5C" w14:textId="77777777" w:rsidR="00EA3540" w:rsidRDefault="00EA3540" w:rsidP="00EA3540">
      <w:pPr>
        <w:pStyle w:val="hh"/>
        <w:numPr>
          <w:ilvl w:val="0"/>
          <w:numId w:val="4"/>
        </w:numPr>
        <w:spacing w:before="0" w:beforeAutospacing="0" w:after="0" w:afterAutospacing="0"/>
        <w:rPr>
          <w:rStyle w:val="ha"/>
          <w:rFonts w:ascii="Arial" w:hAnsi="Arial" w:cs="Arial"/>
          <w:color w:val="000000"/>
          <w:sz w:val="20"/>
          <w:szCs w:val="20"/>
        </w:rPr>
      </w:pPr>
      <w:r>
        <w:rPr>
          <w:rStyle w:val="ha"/>
          <w:rFonts w:ascii="Arial" w:hAnsi="Arial" w:cs="Arial"/>
          <w:color w:val="000000"/>
          <w:sz w:val="20"/>
          <w:szCs w:val="20"/>
        </w:rPr>
        <w:t>Very encouraging momentum in the US with notable national distribution gains in the first half of the year</w:t>
      </w:r>
    </w:p>
    <w:p w14:paraId="6FD3B0AE" w14:textId="1024782B" w:rsidR="00EA3540" w:rsidRPr="001B4D70" w:rsidRDefault="00EA3540" w:rsidP="00EA3540">
      <w:pPr>
        <w:pStyle w:val="hh"/>
        <w:numPr>
          <w:ilvl w:val="0"/>
          <w:numId w:val="4"/>
        </w:numPr>
        <w:spacing w:before="0" w:beforeAutospacing="0" w:after="0" w:afterAutospacing="0"/>
        <w:rPr>
          <w:rStyle w:val="ha"/>
          <w:rFonts w:ascii="Arial" w:hAnsi="Arial" w:cs="Arial"/>
          <w:color w:val="000000"/>
          <w:sz w:val="20"/>
          <w:szCs w:val="20"/>
        </w:rPr>
      </w:pPr>
      <w:r>
        <w:rPr>
          <w:rStyle w:val="ha"/>
          <w:rFonts w:ascii="Arial" w:hAnsi="Arial" w:cs="Arial"/>
          <w:color w:val="000000"/>
          <w:sz w:val="20"/>
          <w:szCs w:val="20"/>
        </w:rPr>
        <w:t xml:space="preserve">Significant </w:t>
      </w:r>
      <w:r w:rsidR="002330B5">
        <w:rPr>
          <w:rStyle w:val="ha"/>
          <w:rFonts w:ascii="Arial" w:hAnsi="Arial" w:cs="Arial"/>
          <w:color w:val="000000"/>
          <w:sz w:val="20"/>
          <w:szCs w:val="20"/>
        </w:rPr>
        <w:t>Off-Trade</w:t>
      </w:r>
      <w:r>
        <w:rPr>
          <w:rStyle w:val="ha"/>
          <w:rFonts w:ascii="Arial" w:hAnsi="Arial" w:cs="Arial"/>
          <w:color w:val="000000"/>
          <w:sz w:val="20"/>
          <w:szCs w:val="20"/>
        </w:rPr>
        <w:t xml:space="preserve"> distribution wins secured in key European markets</w:t>
      </w:r>
    </w:p>
    <w:p w14:paraId="272DF062" w14:textId="502175FC" w:rsidR="00EA3540" w:rsidRDefault="00EA3540" w:rsidP="00EA3540">
      <w:pPr>
        <w:pStyle w:val="hh"/>
        <w:numPr>
          <w:ilvl w:val="0"/>
          <w:numId w:val="4"/>
        </w:numPr>
        <w:spacing w:before="0" w:beforeAutospacing="0" w:after="0" w:afterAutospacing="0"/>
        <w:rPr>
          <w:rStyle w:val="ha"/>
          <w:rFonts w:ascii="Arial" w:hAnsi="Arial" w:cs="Arial"/>
          <w:color w:val="000000"/>
          <w:sz w:val="20"/>
          <w:szCs w:val="20"/>
        </w:rPr>
      </w:pPr>
      <w:r>
        <w:rPr>
          <w:rStyle w:val="ha"/>
          <w:rFonts w:ascii="Arial" w:hAnsi="Arial" w:cs="Arial"/>
          <w:color w:val="000000"/>
          <w:sz w:val="20"/>
          <w:szCs w:val="20"/>
        </w:rPr>
        <w:t xml:space="preserve">Acceleration </w:t>
      </w:r>
      <w:r w:rsidR="008E75F6">
        <w:rPr>
          <w:rStyle w:val="ha"/>
          <w:rFonts w:ascii="Arial" w:hAnsi="Arial" w:cs="Arial"/>
          <w:color w:val="000000"/>
          <w:sz w:val="20"/>
          <w:szCs w:val="20"/>
        </w:rPr>
        <w:t>of</w:t>
      </w:r>
      <w:r>
        <w:rPr>
          <w:rStyle w:val="ha"/>
          <w:rFonts w:ascii="Arial" w:hAnsi="Arial" w:cs="Arial"/>
          <w:color w:val="000000"/>
          <w:sz w:val="20"/>
          <w:szCs w:val="20"/>
        </w:rPr>
        <w:t xml:space="preserve"> growth in Australia and Canada</w:t>
      </w:r>
      <w:r w:rsidR="001F276C">
        <w:rPr>
          <w:rStyle w:val="ha"/>
          <w:rFonts w:ascii="Arial" w:hAnsi="Arial" w:cs="Arial"/>
          <w:color w:val="000000"/>
          <w:sz w:val="20"/>
          <w:szCs w:val="20"/>
        </w:rPr>
        <w:t>,</w:t>
      </w:r>
      <w:r>
        <w:rPr>
          <w:rStyle w:val="ha"/>
          <w:rFonts w:ascii="Arial" w:hAnsi="Arial" w:cs="Arial"/>
          <w:color w:val="000000"/>
          <w:sz w:val="20"/>
          <w:szCs w:val="20"/>
        </w:rPr>
        <w:t xml:space="preserve"> reflecting the Group’s growing global footprint</w:t>
      </w:r>
    </w:p>
    <w:p w14:paraId="2F859DDC" w14:textId="56836A05" w:rsidR="00B117E4" w:rsidRPr="001B4D70" w:rsidRDefault="00B117E4" w:rsidP="00EA3540">
      <w:pPr>
        <w:pStyle w:val="hh"/>
        <w:numPr>
          <w:ilvl w:val="0"/>
          <w:numId w:val="4"/>
        </w:numPr>
        <w:spacing w:before="0" w:beforeAutospacing="0" w:after="0" w:afterAutospacing="0"/>
        <w:rPr>
          <w:rStyle w:val="ha"/>
          <w:rFonts w:ascii="Arial" w:hAnsi="Arial" w:cs="Arial"/>
          <w:color w:val="000000"/>
          <w:sz w:val="20"/>
          <w:szCs w:val="20"/>
        </w:rPr>
      </w:pPr>
      <w:r>
        <w:rPr>
          <w:rStyle w:val="ha"/>
          <w:rFonts w:ascii="Arial" w:hAnsi="Arial" w:cs="Arial"/>
          <w:color w:val="000000"/>
          <w:sz w:val="20"/>
          <w:szCs w:val="20"/>
        </w:rPr>
        <w:t>Ongoing investment in marketing and capability to support our growth across all regions</w:t>
      </w:r>
    </w:p>
    <w:p w14:paraId="286BAC1B" w14:textId="77777777" w:rsidR="00EA3540" w:rsidRDefault="00EA3540" w:rsidP="00EA3540">
      <w:pPr>
        <w:pStyle w:val="hh"/>
        <w:spacing w:before="0" w:beforeAutospacing="0" w:after="0" w:afterAutospacing="0"/>
        <w:ind w:left="1080"/>
        <w:rPr>
          <w:rStyle w:val="ha"/>
          <w:rFonts w:ascii="Arial" w:hAnsi="Arial" w:cs="Arial"/>
          <w:color w:val="000000"/>
          <w:sz w:val="20"/>
          <w:szCs w:val="20"/>
        </w:rPr>
      </w:pPr>
    </w:p>
    <w:p w14:paraId="45B64CBE" w14:textId="2250A273" w:rsidR="00EA3540" w:rsidRPr="00AE4F5E" w:rsidRDefault="00EA3540" w:rsidP="00EA3540">
      <w:pPr>
        <w:pStyle w:val="hh"/>
        <w:spacing w:before="0" w:beforeAutospacing="0" w:after="0" w:afterAutospacing="0"/>
        <w:rPr>
          <w:rStyle w:val="ha"/>
          <w:rFonts w:ascii="Arial" w:hAnsi="Arial" w:cs="Arial"/>
          <w:i/>
          <w:color w:val="000000"/>
          <w:sz w:val="16"/>
          <w:szCs w:val="16"/>
        </w:rPr>
      </w:pPr>
      <w:r>
        <w:rPr>
          <w:rStyle w:val="ha"/>
          <w:rFonts w:ascii="Arial" w:hAnsi="Arial" w:cs="Arial"/>
          <w:i/>
          <w:color w:val="000000"/>
          <w:sz w:val="16"/>
          <w:szCs w:val="16"/>
        </w:rPr>
        <w:t xml:space="preserve">* </w:t>
      </w:r>
      <w:r w:rsidRPr="00AE4F5E">
        <w:rPr>
          <w:rStyle w:val="ha"/>
          <w:rFonts w:ascii="Arial" w:hAnsi="Arial" w:cs="Arial"/>
          <w:i/>
          <w:color w:val="000000"/>
          <w:sz w:val="16"/>
          <w:szCs w:val="16"/>
        </w:rPr>
        <w:t xml:space="preserve">(IRI – Total UK Retail Mixer Market value share - </w:t>
      </w:r>
      <w:r w:rsidRPr="00496F60">
        <w:rPr>
          <w:rStyle w:val="ha"/>
          <w:rFonts w:ascii="Arial" w:hAnsi="Arial" w:cs="Arial"/>
          <w:i/>
          <w:color w:val="000000"/>
          <w:sz w:val="16"/>
          <w:szCs w:val="16"/>
        </w:rPr>
        <w:t>13 weeks to 1</w:t>
      </w:r>
      <w:r>
        <w:rPr>
          <w:rStyle w:val="ha"/>
          <w:rFonts w:ascii="Arial" w:hAnsi="Arial" w:cs="Arial"/>
          <w:i/>
          <w:color w:val="000000"/>
          <w:sz w:val="16"/>
          <w:szCs w:val="16"/>
        </w:rPr>
        <w:t>6</w:t>
      </w:r>
      <w:r w:rsidRPr="00496F60">
        <w:rPr>
          <w:rStyle w:val="ha"/>
          <w:rFonts w:ascii="Arial" w:hAnsi="Arial" w:cs="Arial"/>
          <w:i/>
          <w:color w:val="000000"/>
          <w:sz w:val="16"/>
          <w:szCs w:val="16"/>
        </w:rPr>
        <w:t>/6/19). (</w:t>
      </w:r>
      <w:r>
        <w:rPr>
          <w:rStyle w:val="ha"/>
          <w:rFonts w:ascii="Arial" w:hAnsi="Arial" w:cs="Arial"/>
          <w:i/>
          <w:color w:val="000000"/>
          <w:sz w:val="16"/>
          <w:szCs w:val="16"/>
        </w:rPr>
        <w:t xml:space="preserve">CGA – </w:t>
      </w:r>
      <w:r w:rsidR="00EC1E82">
        <w:rPr>
          <w:rStyle w:val="ha"/>
          <w:rFonts w:ascii="Arial" w:hAnsi="Arial" w:cs="Arial"/>
          <w:i/>
          <w:color w:val="000000"/>
          <w:sz w:val="16"/>
          <w:szCs w:val="16"/>
        </w:rPr>
        <w:t xml:space="preserve">Packaged Mixers </w:t>
      </w:r>
      <w:r>
        <w:rPr>
          <w:rStyle w:val="ha"/>
          <w:rFonts w:ascii="Arial" w:hAnsi="Arial" w:cs="Arial"/>
          <w:i/>
          <w:color w:val="000000"/>
          <w:sz w:val="16"/>
          <w:szCs w:val="16"/>
        </w:rPr>
        <w:t>52 weeks to 18/5/19))</w:t>
      </w:r>
    </w:p>
    <w:p w14:paraId="7DAAF30E" w14:textId="77777777" w:rsidR="00EA3540" w:rsidRDefault="00EA3540" w:rsidP="00EA3540">
      <w:pPr>
        <w:pStyle w:val="hh"/>
        <w:spacing w:before="0" w:beforeAutospacing="0" w:after="0" w:afterAutospacing="0"/>
        <w:rPr>
          <w:rStyle w:val="ha"/>
          <w:rFonts w:ascii="Arial" w:hAnsi="Arial" w:cs="Arial"/>
          <w:color w:val="000000"/>
          <w:sz w:val="20"/>
          <w:szCs w:val="20"/>
        </w:rPr>
      </w:pPr>
    </w:p>
    <w:p w14:paraId="223B5EB8" w14:textId="77777777" w:rsidR="00EA3540" w:rsidRDefault="00EA3540" w:rsidP="00EA3540">
      <w:pPr>
        <w:pStyle w:val="hg"/>
        <w:spacing w:before="0" w:beforeAutospacing="0" w:after="0" w:afterAutospacing="0"/>
        <w:jc w:val="both"/>
        <w:rPr>
          <w:rFonts w:ascii="Calibri" w:hAnsi="Calibri" w:cs="Calibri"/>
          <w:color w:val="000000"/>
          <w:sz w:val="22"/>
          <w:szCs w:val="22"/>
        </w:rPr>
      </w:pPr>
    </w:p>
    <w:p w14:paraId="5AAD6B6B" w14:textId="77777777" w:rsidR="00EA3540" w:rsidRDefault="00EA3540" w:rsidP="00EA3540">
      <w:pPr>
        <w:pStyle w:val="hj"/>
        <w:spacing w:before="0" w:beforeAutospacing="0" w:after="0" w:afterAutospacing="0"/>
        <w:jc w:val="both"/>
        <w:rPr>
          <w:rFonts w:ascii="Calibri" w:hAnsi="Calibri" w:cs="Calibri"/>
          <w:b/>
          <w:bCs/>
          <w:color w:val="000000"/>
          <w:sz w:val="22"/>
          <w:szCs w:val="22"/>
        </w:rPr>
      </w:pPr>
      <w:r>
        <w:rPr>
          <w:rStyle w:val="ha"/>
          <w:rFonts w:ascii="Arial" w:hAnsi="Arial" w:cs="Arial"/>
          <w:b/>
          <w:bCs/>
          <w:color w:val="000000"/>
          <w:sz w:val="20"/>
          <w:szCs w:val="20"/>
        </w:rPr>
        <w:t>Tim Warrillow, CEO of Fever-Tree said:</w:t>
      </w:r>
    </w:p>
    <w:p w14:paraId="49FED903" w14:textId="77777777" w:rsidR="00EA3540" w:rsidRDefault="00EA3540" w:rsidP="00EA3540">
      <w:pPr>
        <w:pStyle w:val="hg"/>
        <w:spacing w:before="0" w:beforeAutospacing="0" w:after="0" w:afterAutospacing="0"/>
        <w:jc w:val="both"/>
        <w:rPr>
          <w:rStyle w:val="ha"/>
          <w:rFonts w:ascii="Arial" w:hAnsi="Arial" w:cs="Arial"/>
          <w:color w:val="000000"/>
          <w:sz w:val="20"/>
          <w:szCs w:val="20"/>
        </w:rPr>
      </w:pPr>
      <w:r>
        <w:rPr>
          <w:rStyle w:val="ha"/>
          <w:rFonts w:ascii="Arial" w:hAnsi="Arial" w:cs="Arial"/>
          <w:color w:val="000000"/>
          <w:sz w:val="20"/>
          <w:szCs w:val="20"/>
        </w:rPr>
        <w:t> </w:t>
      </w:r>
    </w:p>
    <w:p w14:paraId="5B47BD9C" w14:textId="6684DAB9" w:rsidR="00F95123" w:rsidRDefault="00EA3540" w:rsidP="00F95123">
      <w:pPr>
        <w:pStyle w:val="hg"/>
        <w:spacing w:before="0" w:beforeAutospacing="0" w:after="0" w:afterAutospacing="0"/>
        <w:jc w:val="both"/>
        <w:rPr>
          <w:rFonts w:ascii="Arial" w:hAnsi="Arial" w:cs="Arial"/>
          <w:sz w:val="20"/>
          <w:szCs w:val="20"/>
        </w:rPr>
      </w:pPr>
      <w:r>
        <w:rPr>
          <w:rStyle w:val="ha"/>
          <w:rFonts w:ascii="Arial" w:hAnsi="Arial" w:cs="Arial"/>
          <w:color w:val="000000"/>
          <w:sz w:val="20"/>
          <w:szCs w:val="20"/>
        </w:rPr>
        <w:t>“</w:t>
      </w:r>
      <w:r w:rsidR="00F95123">
        <w:rPr>
          <w:rStyle w:val="ha"/>
          <w:rFonts w:ascii="Arial" w:hAnsi="Arial" w:cs="Arial"/>
          <w:sz w:val="20"/>
          <w:szCs w:val="20"/>
        </w:rPr>
        <w:t xml:space="preserve">It has been an encouraging first half for the Group with growth across </w:t>
      </w:r>
      <w:r w:rsidR="00F95123">
        <w:rPr>
          <w:rFonts w:ascii="Arial" w:hAnsi="Arial" w:cs="Arial"/>
          <w:sz w:val="20"/>
          <w:szCs w:val="20"/>
        </w:rPr>
        <w:t>all our four regions, most notably in the US, where we have made significant distribution gains and operational progress. While we have not been immune to the impact of the unseasonably poor weather in the UK, we have further strengthened our market leadership position within the UK and have seen positive momentum in Europe and the rest of the world reflecting our increasingly global footprint.</w:t>
      </w:r>
    </w:p>
    <w:p w14:paraId="6A41FF86" w14:textId="77777777" w:rsidR="00F95123" w:rsidRPr="00C53A08" w:rsidRDefault="00F95123" w:rsidP="00F95123">
      <w:pPr>
        <w:pStyle w:val="hg"/>
        <w:spacing w:before="0" w:beforeAutospacing="0" w:after="0" w:afterAutospacing="0"/>
        <w:jc w:val="both"/>
        <w:rPr>
          <w:rFonts w:ascii="Calibri" w:hAnsi="Calibri" w:cs="Calibri"/>
          <w:color w:val="000000"/>
          <w:sz w:val="22"/>
          <w:szCs w:val="22"/>
        </w:rPr>
      </w:pPr>
    </w:p>
    <w:p w14:paraId="00F49DE3" w14:textId="2DC40FEA" w:rsidR="00F95123" w:rsidRDefault="00F95123" w:rsidP="00F95123">
      <w:pPr>
        <w:pStyle w:val="BodyA"/>
        <w:spacing w:line="240" w:lineRule="auto"/>
        <w:jc w:val="both"/>
        <w:rPr>
          <w:rFonts w:ascii="Arial" w:hAnsi="Arial" w:cs="Arial"/>
          <w:sz w:val="20"/>
          <w:szCs w:val="20"/>
        </w:rPr>
      </w:pPr>
      <w:r>
        <w:rPr>
          <w:rFonts w:ascii="Arial" w:hAnsi="Arial" w:cs="Arial"/>
          <w:sz w:val="20"/>
          <w:szCs w:val="20"/>
        </w:rPr>
        <w:t>The move to long mixed drinks is gathering momentum and starting to win share from beer and wine. O</w:t>
      </w:r>
      <w:r w:rsidRPr="00B5177F">
        <w:rPr>
          <w:rFonts w:ascii="Arial" w:hAnsi="Arial" w:cs="Arial"/>
          <w:sz w:val="20"/>
          <w:szCs w:val="20"/>
        </w:rPr>
        <w:t xml:space="preserve">ur broad range of high-quality mixers, </w:t>
      </w:r>
      <w:r>
        <w:rPr>
          <w:rFonts w:ascii="Arial" w:hAnsi="Arial" w:cs="Arial"/>
          <w:sz w:val="20"/>
          <w:szCs w:val="20"/>
        </w:rPr>
        <w:t xml:space="preserve">relationships with spirits companies, </w:t>
      </w:r>
      <w:r w:rsidRPr="00B5177F">
        <w:rPr>
          <w:rFonts w:ascii="Arial" w:hAnsi="Arial" w:cs="Arial"/>
          <w:sz w:val="20"/>
          <w:szCs w:val="20"/>
        </w:rPr>
        <w:t xml:space="preserve">brand strength </w:t>
      </w:r>
      <w:r>
        <w:rPr>
          <w:rFonts w:ascii="Arial" w:hAnsi="Arial" w:cs="Arial"/>
          <w:sz w:val="20"/>
          <w:szCs w:val="20"/>
        </w:rPr>
        <w:t>and our growing international distribution network provide us with confidence in the significant global opportunity that lies ahead for the Group.</w:t>
      </w:r>
    </w:p>
    <w:p w14:paraId="1A08C1F8" w14:textId="4F216607" w:rsidR="00F95123" w:rsidRDefault="00F95123" w:rsidP="00F95123">
      <w:pPr>
        <w:pStyle w:val="hg"/>
        <w:spacing w:before="0" w:beforeAutospacing="0" w:after="0" w:afterAutospacing="0"/>
        <w:jc w:val="both"/>
        <w:rPr>
          <w:rFonts w:ascii="Arial" w:hAnsi="Arial" w:cs="Arial"/>
          <w:sz w:val="20"/>
          <w:szCs w:val="20"/>
        </w:rPr>
      </w:pPr>
      <w:r w:rsidRPr="00296352">
        <w:rPr>
          <w:rFonts w:ascii="Arial" w:hAnsi="Arial" w:cs="Arial"/>
          <w:sz w:val="20"/>
          <w:szCs w:val="20"/>
        </w:rPr>
        <w:t xml:space="preserve">Whilst we remain mindful of the tough comparators </w:t>
      </w:r>
      <w:r>
        <w:rPr>
          <w:rFonts w:ascii="Arial" w:hAnsi="Arial" w:cs="Arial"/>
          <w:sz w:val="20"/>
          <w:szCs w:val="20"/>
        </w:rPr>
        <w:t>over the remainder of the summer</w:t>
      </w:r>
      <w:r w:rsidRPr="00296352">
        <w:rPr>
          <w:rFonts w:ascii="Arial" w:hAnsi="Arial" w:cs="Arial"/>
          <w:sz w:val="20"/>
          <w:szCs w:val="20"/>
        </w:rPr>
        <w:t xml:space="preserve"> in the UK, </w:t>
      </w:r>
      <w:r>
        <w:rPr>
          <w:rFonts w:ascii="Arial" w:hAnsi="Arial" w:cs="Arial"/>
          <w:sz w:val="20"/>
          <w:szCs w:val="20"/>
        </w:rPr>
        <w:t>t</w:t>
      </w:r>
      <w:r w:rsidRPr="004B3782">
        <w:rPr>
          <w:rFonts w:ascii="Arial" w:hAnsi="Arial" w:cs="Arial"/>
          <w:sz w:val="20"/>
          <w:szCs w:val="20"/>
        </w:rPr>
        <w:t>he Board anticipates that the outcome for the full year will be in line with its expectations</w:t>
      </w:r>
      <w:r>
        <w:rPr>
          <w:rFonts w:ascii="Arial" w:hAnsi="Arial" w:cs="Arial"/>
          <w:sz w:val="20"/>
          <w:szCs w:val="20"/>
        </w:rPr>
        <w:t>.”</w:t>
      </w:r>
    </w:p>
    <w:p w14:paraId="4DA35F96" w14:textId="77777777" w:rsidR="00F95123" w:rsidRDefault="00F95123" w:rsidP="00F95123">
      <w:pPr>
        <w:pStyle w:val="hg"/>
        <w:spacing w:before="0" w:beforeAutospacing="0" w:after="0" w:afterAutospacing="0"/>
        <w:jc w:val="both"/>
        <w:rPr>
          <w:rFonts w:ascii="Arial" w:hAnsi="Arial" w:cs="Arial"/>
          <w:sz w:val="20"/>
          <w:szCs w:val="20"/>
        </w:rPr>
      </w:pPr>
    </w:p>
    <w:p w14:paraId="7385261F" w14:textId="77777777" w:rsidR="00007B97" w:rsidRDefault="00007B97" w:rsidP="00EA3540">
      <w:pPr>
        <w:rPr>
          <w:rFonts w:ascii="Arial" w:eastAsia="Times New Roman" w:hAnsi="Arial" w:cs="Arial"/>
          <w:b/>
          <w:bCs/>
          <w:color w:val="000000"/>
          <w:sz w:val="20"/>
          <w:szCs w:val="20"/>
          <w:lang w:eastAsia="en-GB"/>
        </w:rPr>
      </w:pPr>
    </w:p>
    <w:p w14:paraId="14DB5A10" w14:textId="59CB9E4F" w:rsidR="00EA3540" w:rsidRPr="00820E0B" w:rsidRDefault="00EA3540" w:rsidP="00EA3540">
      <w:pPr>
        <w:rPr>
          <w:rFonts w:ascii="Calibri" w:eastAsia="Times New Roman" w:hAnsi="Calibri" w:cs="Calibri"/>
          <w:b/>
          <w:bCs/>
          <w:color w:val="000000"/>
          <w:lang w:eastAsia="en-GB"/>
        </w:rPr>
      </w:pPr>
      <w:r w:rsidRPr="00820E0B">
        <w:rPr>
          <w:rFonts w:ascii="Arial" w:eastAsia="Times New Roman" w:hAnsi="Arial" w:cs="Arial"/>
          <w:b/>
          <w:bCs/>
          <w:color w:val="000000"/>
          <w:sz w:val="20"/>
          <w:szCs w:val="20"/>
          <w:lang w:eastAsia="en-GB"/>
        </w:rPr>
        <w:t>For further information:</w:t>
      </w:r>
    </w:p>
    <w:p w14:paraId="3E1AC6B8" w14:textId="77777777" w:rsidR="00EA3540" w:rsidRPr="00820E0B" w:rsidRDefault="00EA3540" w:rsidP="00EA3540">
      <w:pPr>
        <w:rPr>
          <w:rFonts w:ascii="Calibri" w:eastAsia="Times New Roman" w:hAnsi="Calibri" w:cs="Calibri"/>
          <w:b/>
          <w:bCs/>
          <w:color w:val="000000"/>
          <w:lang w:eastAsia="en-GB"/>
        </w:rPr>
      </w:pPr>
      <w:r w:rsidRPr="00820E0B">
        <w:rPr>
          <w:rFonts w:ascii="Arial" w:eastAsia="Times New Roman" w:hAnsi="Arial" w:cs="Arial"/>
          <w:b/>
          <w:bCs/>
          <w:color w:val="000000"/>
          <w:sz w:val="20"/>
          <w:szCs w:val="20"/>
          <w:lang w:eastAsia="en-GB"/>
        </w:rPr>
        <w:t> </w:t>
      </w:r>
    </w:p>
    <w:p w14:paraId="24464F72" w14:textId="77777777" w:rsidR="00EA3540" w:rsidRPr="00820E0B" w:rsidRDefault="00EA3540" w:rsidP="00EA3540">
      <w:pPr>
        <w:spacing w:after="200"/>
        <w:jc w:val="both"/>
        <w:rPr>
          <w:rFonts w:ascii="Calibri" w:eastAsia="Times New Roman" w:hAnsi="Calibri" w:cs="Calibri"/>
          <w:color w:val="000000"/>
          <w:lang w:eastAsia="en-GB"/>
        </w:rPr>
      </w:pPr>
      <w:r w:rsidRPr="00820E0B">
        <w:rPr>
          <w:rFonts w:ascii="Arial" w:eastAsia="Times New Roman" w:hAnsi="Arial" w:cs="Arial"/>
          <w:b/>
          <w:bCs/>
          <w:color w:val="000000"/>
          <w:sz w:val="20"/>
          <w:szCs w:val="20"/>
          <w:lang w:eastAsia="en-GB"/>
        </w:rPr>
        <w:t>Fevertree Drinks plc                                                                    </w:t>
      </w:r>
      <w:r w:rsidRPr="00820E0B">
        <w:rPr>
          <w:rFonts w:ascii="Arial" w:eastAsia="Times New Roman" w:hAnsi="Arial" w:cs="Arial"/>
          <w:color w:val="000000"/>
          <w:sz w:val="20"/>
          <w:szCs w:val="20"/>
          <w:lang w:eastAsia="en-GB"/>
        </w:rPr>
        <w:t> +44 (0)20 7349 4922</w:t>
      </w:r>
    </w:p>
    <w:p w14:paraId="386290A5" w14:textId="77777777" w:rsidR="00EA3540" w:rsidRPr="00820E0B" w:rsidRDefault="00EA3540" w:rsidP="00EA3540">
      <w:pPr>
        <w:spacing w:after="120"/>
        <w:jc w:val="both"/>
        <w:rPr>
          <w:rFonts w:ascii="Calibri" w:eastAsia="Times New Roman" w:hAnsi="Calibri" w:cs="Calibri"/>
          <w:color w:val="000000"/>
          <w:lang w:eastAsia="en-GB"/>
        </w:rPr>
      </w:pPr>
      <w:r w:rsidRPr="00820E0B">
        <w:rPr>
          <w:rFonts w:ascii="Arial" w:eastAsia="Times New Roman" w:hAnsi="Arial" w:cs="Arial"/>
          <w:color w:val="000000"/>
          <w:sz w:val="20"/>
          <w:szCs w:val="20"/>
          <w:lang w:eastAsia="en-GB"/>
        </w:rPr>
        <w:t>Tim Warrillow, Co-founder and CEO</w:t>
      </w:r>
    </w:p>
    <w:p w14:paraId="3853E7AD" w14:textId="77777777" w:rsidR="00EA3540" w:rsidRPr="00820E0B" w:rsidRDefault="00EA3540" w:rsidP="00EA3540">
      <w:pPr>
        <w:spacing w:after="120"/>
        <w:jc w:val="both"/>
        <w:rPr>
          <w:rFonts w:ascii="Calibri" w:eastAsia="Times New Roman" w:hAnsi="Calibri" w:cs="Calibri"/>
          <w:color w:val="000000"/>
          <w:lang w:eastAsia="en-GB"/>
        </w:rPr>
      </w:pPr>
      <w:r w:rsidRPr="00820E0B">
        <w:rPr>
          <w:rFonts w:ascii="Arial" w:eastAsia="Times New Roman" w:hAnsi="Arial" w:cs="Arial"/>
          <w:color w:val="000000"/>
          <w:sz w:val="20"/>
          <w:szCs w:val="20"/>
          <w:lang w:eastAsia="en-GB"/>
        </w:rPr>
        <w:t>Andy Branchflower, Finance Director</w:t>
      </w:r>
    </w:p>
    <w:p w14:paraId="05EBBA9B" w14:textId="77777777" w:rsidR="00EA3540" w:rsidRPr="00820E0B" w:rsidRDefault="00EA3540" w:rsidP="00EA3540">
      <w:pPr>
        <w:spacing w:after="120"/>
        <w:jc w:val="both"/>
        <w:rPr>
          <w:rFonts w:ascii="Calibri" w:eastAsia="Times New Roman" w:hAnsi="Calibri" w:cs="Calibri"/>
          <w:color w:val="000000"/>
          <w:lang w:eastAsia="en-GB"/>
        </w:rPr>
      </w:pPr>
      <w:r w:rsidRPr="00820E0B">
        <w:rPr>
          <w:rFonts w:ascii="Arial" w:eastAsia="Times New Roman" w:hAnsi="Arial" w:cs="Arial"/>
          <w:color w:val="000000"/>
          <w:sz w:val="20"/>
          <w:szCs w:val="20"/>
          <w:lang w:eastAsia="en-GB"/>
        </w:rPr>
        <w:lastRenderedPageBreak/>
        <w:t>Oliver Winters, Communications &amp; IR Director     </w:t>
      </w:r>
    </w:p>
    <w:p w14:paraId="3F628F38" w14:textId="77777777" w:rsidR="00EA3540" w:rsidRPr="00820E0B" w:rsidRDefault="00EA3540" w:rsidP="00EA3540">
      <w:pPr>
        <w:spacing w:after="120"/>
        <w:jc w:val="both"/>
        <w:rPr>
          <w:rFonts w:ascii="Calibri" w:eastAsia="Times New Roman" w:hAnsi="Calibri" w:cs="Calibri"/>
          <w:color w:val="000000"/>
          <w:lang w:eastAsia="en-GB"/>
        </w:rPr>
      </w:pPr>
      <w:r w:rsidRPr="00820E0B">
        <w:rPr>
          <w:rFonts w:ascii="Arial" w:eastAsia="Times New Roman" w:hAnsi="Arial" w:cs="Arial"/>
          <w:color w:val="000000"/>
          <w:sz w:val="20"/>
          <w:szCs w:val="20"/>
          <w:lang w:eastAsia="en-GB"/>
        </w:rPr>
        <w:t> </w:t>
      </w:r>
    </w:p>
    <w:p w14:paraId="431D390D" w14:textId="77777777" w:rsidR="00EA3540" w:rsidRPr="00820E0B" w:rsidRDefault="00EA3540" w:rsidP="00EA3540">
      <w:pPr>
        <w:spacing w:after="120"/>
        <w:rPr>
          <w:rFonts w:ascii="Calibri" w:eastAsia="Times New Roman" w:hAnsi="Calibri" w:cs="Calibri"/>
          <w:color w:val="000000"/>
          <w:lang w:eastAsia="en-GB"/>
        </w:rPr>
      </w:pPr>
      <w:r w:rsidRPr="00820E0B">
        <w:rPr>
          <w:rFonts w:ascii="Arial" w:eastAsia="Times New Roman" w:hAnsi="Arial" w:cs="Arial"/>
          <w:b/>
          <w:bCs/>
          <w:color w:val="000000"/>
          <w:sz w:val="20"/>
          <w:szCs w:val="20"/>
          <w:lang w:eastAsia="en-GB"/>
        </w:rPr>
        <w:t>Numis Securities - Nominated Adviser and Joint Broker         </w:t>
      </w:r>
      <w:r w:rsidRPr="00820E0B">
        <w:rPr>
          <w:rFonts w:ascii="Arial" w:eastAsia="Times New Roman" w:hAnsi="Arial" w:cs="Arial"/>
          <w:color w:val="000000"/>
          <w:sz w:val="20"/>
          <w:szCs w:val="20"/>
          <w:lang w:eastAsia="en-GB"/>
        </w:rPr>
        <w:t>+44 (0)20 7260 1000</w:t>
      </w:r>
    </w:p>
    <w:p w14:paraId="53227C2A" w14:textId="77777777" w:rsidR="00EA3540" w:rsidRPr="00820E0B" w:rsidRDefault="00EA3540" w:rsidP="00EA3540">
      <w:pPr>
        <w:spacing w:after="120"/>
        <w:jc w:val="both"/>
        <w:rPr>
          <w:rFonts w:ascii="Calibri" w:eastAsia="Times New Roman" w:hAnsi="Calibri" w:cs="Calibri"/>
          <w:color w:val="000000"/>
          <w:lang w:eastAsia="en-GB"/>
        </w:rPr>
      </w:pPr>
      <w:r>
        <w:rPr>
          <w:rFonts w:ascii="Arial" w:eastAsia="Times New Roman" w:hAnsi="Arial" w:cs="Arial"/>
          <w:color w:val="000000"/>
          <w:sz w:val="20"/>
          <w:szCs w:val="20"/>
          <w:lang w:eastAsia="en-GB"/>
        </w:rPr>
        <w:t>Garry Levin</w:t>
      </w:r>
    </w:p>
    <w:p w14:paraId="6D024C4B" w14:textId="77777777" w:rsidR="00EA3540" w:rsidRPr="00820E0B" w:rsidRDefault="00EA3540" w:rsidP="00EA3540">
      <w:pPr>
        <w:spacing w:after="120"/>
        <w:jc w:val="both"/>
        <w:rPr>
          <w:rFonts w:ascii="Calibri" w:eastAsia="Times New Roman" w:hAnsi="Calibri" w:cs="Calibri"/>
          <w:color w:val="000000"/>
          <w:lang w:eastAsia="en-GB"/>
        </w:rPr>
      </w:pPr>
      <w:r w:rsidRPr="00820E0B">
        <w:rPr>
          <w:rFonts w:ascii="Arial" w:eastAsia="Times New Roman" w:hAnsi="Arial" w:cs="Arial"/>
          <w:color w:val="000000"/>
          <w:sz w:val="20"/>
          <w:szCs w:val="20"/>
          <w:lang w:eastAsia="en-GB"/>
        </w:rPr>
        <w:t>Matt Lewis</w:t>
      </w:r>
    </w:p>
    <w:p w14:paraId="0C35CED0" w14:textId="77777777" w:rsidR="00EA3540" w:rsidRPr="00820E0B" w:rsidRDefault="00EA3540" w:rsidP="00EA3540">
      <w:pPr>
        <w:spacing w:after="120"/>
        <w:jc w:val="both"/>
        <w:rPr>
          <w:rFonts w:ascii="Calibri" w:eastAsia="Times New Roman" w:hAnsi="Calibri" w:cs="Calibri"/>
          <w:color w:val="000000"/>
          <w:lang w:eastAsia="en-GB"/>
        </w:rPr>
      </w:pPr>
      <w:r w:rsidRPr="00820E0B">
        <w:rPr>
          <w:rFonts w:ascii="Arial" w:eastAsia="Times New Roman" w:hAnsi="Arial" w:cs="Arial"/>
          <w:color w:val="000000"/>
          <w:sz w:val="20"/>
          <w:szCs w:val="20"/>
          <w:lang w:eastAsia="en-GB"/>
        </w:rPr>
        <w:t>Hugo Rubinstein</w:t>
      </w:r>
    </w:p>
    <w:p w14:paraId="074BB4E4" w14:textId="77777777" w:rsidR="00EA3540" w:rsidRPr="00820E0B" w:rsidRDefault="00EA3540" w:rsidP="00EA3540">
      <w:pPr>
        <w:spacing w:after="120"/>
        <w:jc w:val="both"/>
        <w:rPr>
          <w:rFonts w:ascii="Calibri" w:eastAsia="Times New Roman" w:hAnsi="Calibri" w:cs="Calibri"/>
          <w:color w:val="000000"/>
          <w:lang w:eastAsia="en-GB"/>
        </w:rPr>
      </w:pPr>
      <w:r w:rsidRPr="00820E0B">
        <w:rPr>
          <w:rFonts w:ascii="Arial" w:eastAsia="Times New Roman" w:hAnsi="Arial" w:cs="Arial"/>
          <w:color w:val="000000"/>
          <w:sz w:val="20"/>
          <w:szCs w:val="20"/>
          <w:lang w:eastAsia="en-GB"/>
        </w:rPr>
        <w:t> </w:t>
      </w:r>
    </w:p>
    <w:p w14:paraId="7E67528F" w14:textId="77777777" w:rsidR="00EA3540" w:rsidRPr="00820E0B" w:rsidRDefault="00EA3540" w:rsidP="00EA3540">
      <w:pPr>
        <w:spacing w:after="120"/>
        <w:jc w:val="both"/>
        <w:rPr>
          <w:rFonts w:ascii="Calibri" w:eastAsia="Times New Roman" w:hAnsi="Calibri" w:cs="Calibri"/>
          <w:color w:val="000000"/>
          <w:lang w:eastAsia="en-GB"/>
        </w:rPr>
      </w:pPr>
      <w:r w:rsidRPr="00820E0B">
        <w:rPr>
          <w:rFonts w:ascii="Arial" w:eastAsia="Times New Roman" w:hAnsi="Arial" w:cs="Arial"/>
          <w:b/>
          <w:bCs/>
          <w:color w:val="000000"/>
          <w:sz w:val="20"/>
          <w:szCs w:val="20"/>
          <w:lang w:eastAsia="en-GB"/>
        </w:rPr>
        <w:t>Investec Bank plc - Joint Broker                                                </w:t>
      </w:r>
      <w:r w:rsidRPr="00820E0B">
        <w:rPr>
          <w:rFonts w:ascii="Arial" w:eastAsia="Times New Roman" w:hAnsi="Arial" w:cs="Arial"/>
          <w:color w:val="000000"/>
          <w:sz w:val="20"/>
          <w:szCs w:val="20"/>
          <w:lang w:eastAsia="en-GB"/>
        </w:rPr>
        <w:t>+44 (0)20 7</w:t>
      </w:r>
      <w:r>
        <w:rPr>
          <w:rFonts w:ascii="Arial" w:eastAsia="Times New Roman" w:hAnsi="Arial" w:cs="Arial"/>
          <w:color w:val="000000"/>
          <w:sz w:val="20"/>
          <w:szCs w:val="20"/>
          <w:lang w:eastAsia="en-GB"/>
        </w:rPr>
        <w:t>597 5970</w:t>
      </w:r>
    </w:p>
    <w:p w14:paraId="5CD73FF1" w14:textId="77777777" w:rsidR="00EA3540" w:rsidRPr="00820E0B" w:rsidRDefault="00EA3540" w:rsidP="00EA3540">
      <w:pPr>
        <w:spacing w:after="120"/>
        <w:jc w:val="both"/>
        <w:rPr>
          <w:rFonts w:ascii="Calibri" w:eastAsia="Times New Roman" w:hAnsi="Calibri" w:cs="Calibri"/>
          <w:color w:val="000000"/>
          <w:lang w:eastAsia="en-GB"/>
        </w:rPr>
      </w:pPr>
      <w:r w:rsidRPr="00820E0B">
        <w:rPr>
          <w:rFonts w:ascii="Arial" w:eastAsia="Times New Roman" w:hAnsi="Arial" w:cs="Arial"/>
          <w:color w:val="000000"/>
          <w:sz w:val="20"/>
          <w:szCs w:val="20"/>
          <w:lang w:eastAsia="en-GB"/>
        </w:rPr>
        <w:t>David Flin</w:t>
      </w:r>
    </w:p>
    <w:p w14:paraId="48BCF477" w14:textId="77777777" w:rsidR="00EA3540" w:rsidRPr="00820E0B" w:rsidRDefault="00EA3540" w:rsidP="00EA3540">
      <w:pPr>
        <w:spacing w:after="120"/>
        <w:jc w:val="both"/>
        <w:rPr>
          <w:rFonts w:ascii="Calibri" w:eastAsia="Times New Roman" w:hAnsi="Calibri" w:cs="Calibri"/>
          <w:color w:val="000000"/>
          <w:lang w:eastAsia="en-GB"/>
        </w:rPr>
      </w:pPr>
      <w:r w:rsidRPr="00820E0B">
        <w:rPr>
          <w:rFonts w:ascii="Arial" w:eastAsia="Times New Roman" w:hAnsi="Arial" w:cs="Arial"/>
          <w:color w:val="000000"/>
          <w:sz w:val="20"/>
          <w:szCs w:val="20"/>
          <w:lang w:eastAsia="en-GB"/>
        </w:rPr>
        <w:t>Alex Wright</w:t>
      </w:r>
    </w:p>
    <w:p w14:paraId="13FB52FF" w14:textId="77777777" w:rsidR="00EA3540" w:rsidRPr="00820E0B" w:rsidRDefault="00EA3540" w:rsidP="00EA3540">
      <w:pPr>
        <w:spacing w:after="120"/>
        <w:jc w:val="both"/>
        <w:rPr>
          <w:rFonts w:ascii="Calibri" w:eastAsia="Times New Roman" w:hAnsi="Calibri" w:cs="Calibri"/>
          <w:color w:val="000000"/>
          <w:lang w:eastAsia="en-GB"/>
        </w:rPr>
      </w:pPr>
      <w:r w:rsidRPr="00820E0B">
        <w:rPr>
          <w:rFonts w:ascii="Arial" w:eastAsia="Times New Roman" w:hAnsi="Arial" w:cs="Arial"/>
          <w:color w:val="000000"/>
          <w:sz w:val="20"/>
          <w:szCs w:val="20"/>
          <w:lang w:eastAsia="en-GB"/>
        </w:rPr>
        <w:t>David Anderson </w:t>
      </w:r>
    </w:p>
    <w:p w14:paraId="2BABCB57" w14:textId="77777777" w:rsidR="00EA3540" w:rsidRPr="00820E0B" w:rsidRDefault="00EA3540" w:rsidP="00EA3540">
      <w:pPr>
        <w:spacing w:after="120"/>
        <w:jc w:val="both"/>
        <w:rPr>
          <w:rFonts w:ascii="Calibri" w:eastAsia="Times New Roman" w:hAnsi="Calibri" w:cs="Calibri"/>
          <w:color w:val="000000"/>
          <w:lang w:eastAsia="en-GB"/>
        </w:rPr>
      </w:pPr>
      <w:r w:rsidRPr="00820E0B">
        <w:rPr>
          <w:rFonts w:ascii="Arial" w:eastAsia="Times New Roman" w:hAnsi="Arial" w:cs="Arial"/>
          <w:color w:val="000000"/>
          <w:sz w:val="20"/>
          <w:szCs w:val="20"/>
          <w:lang w:eastAsia="en-GB"/>
        </w:rPr>
        <w:t> </w:t>
      </w:r>
    </w:p>
    <w:p w14:paraId="78A4A61D" w14:textId="77777777" w:rsidR="00EA3540" w:rsidRPr="00820E0B" w:rsidRDefault="00EA3540" w:rsidP="00EA3540">
      <w:pPr>
        <w:spacing w:after="120" w:line="253" w:lineRule="atLeast"/>
        <w:jc w:val="both"/>
        <w:rPr>
          <w:rFonts w:ascii="Calibri" w:eastAsia="Times New Roman" w:hAnsi="Calibri" w:cs="Calibri"/>
          <w:color w:val="000000"/>
          <w:lang w:eastAsia="en-GB"/>
        </w:rPr>
      </w:pPr>
      <w:r w:rsidRPr="00820E0B">
        <w:rPr>
          <w:rFonts w:ascii="Arial" w:eastAsia="Times New Roman" w:hAnsi="Arial" w:cs="Arial"/>
          <w:b/>
          <w:bCs/>
          <w:color w:val="000000"/>
          <w:sz w:val="20"/>
          <w:szCs w:val="20"/>
          <w:lang w:eastAsia="en-GB"/>
        </w:rPr>
        <w:t>Brunswick Group                                                                         </w:t>
      </w:r>
      <w:r w:rsidRPr="00820E0B">
        <w:rPr>
          <w:rFonts w:ascii="Arial" w:eastAsia="Times New Roman" w:hAnsi="Arial" w:cs="Arial"/>
          <w:color w:val="000000"/>
          <w:sz w:val="20"/>
          <w:szCs w:val="20"/>
          <w:lang w:eastAsia="en-GB"/>
        </w:rPr>
        <w:t>+44 (0) 20 7404 5959</w:t>
      </w:r>
    </w:p>
    <w:p w14:paraId="5F859ABF" w14:textId="77777777" w:rsidR="00EA3540" w:rsidRPr="00820E0B" w:rsidRDefault="00EA3540" w:rsidP="00EA3540">
      <w:pPr>
        <w:spacing w:after="120" w:line="253" w:lineRule="atLeast"/>
        <w:jc w:val="both"/>
        <w:rPr>
          <w:rFonts w:ascii="Calibri" w:eastAsia="Times New Roman" w:hAnsi="Calibri" w:cs="Calibri"/>
          <w:color w:val="000000"/>
          <w:lang w:eastAsia="en-GB"/>
        </w:rPr>
      </w:pPr>
      <w:r w:rsidRPr="00820E0B">
        <w:rPr>
          <w:rFonts w:ascii="Arial" w:eastAsia="Times New Roman" w:hAnsi="Arial" w:cs="Arial"/>
          <w:color w:val="000000"/>
          <w:sz w:val="20"/>
          <w:szCs w:val="20"/>
          <w:lang w:eastAsia="en-GB"/>
        </w:rPr>
        <w:t>Jonathan Glass</w:t>
      </w:r>
    </w:p>
    <w:p w14:paraId="238E871A" w14:textId="77777777" w:rsidR="00EA3540" w:rsidRPr="00820E0B" w:rsidRDefault="00EA3540" w:rsidP="00EA3540">
      <w:pPr>
        <w:spacing w:after="120" w:line="253" w:lineRule="atLeast"/>
        <w:jc w:val="both"/>
        <w:rPr>
          <w:rFonts w:ascii="Calibri" w:eastAsia="Times New Roman" w:hAnsi="Calibri" w:cs="Calibri"/>
          <w:color w:val="000000"/>
          <w:lang w:eastAsia="en-GB"/>
        </w:rPr>
      </w:pPr>
      <w:r w:rsidRPr="00820E0B">
        <w:rPr>
          <w:rFonts w:ascii="Arial" w:eastAsia="Times New Roman" w:hAnsi="Arial" w:cs="Arial"/>
          <w:color w:val="000000"/>
          <w:sz w:val="20"/>
          <w:szCs w:val="20"/>
          <w:lang w:eastAsia="en-GB"/>
        </w:rPr>
        <w:t>Fiona Micallef-Eynaud</w:t>
      </w:r>
    </w:p>
    <w:p w14:paraId="2DE1B1A2" w14:textId="77777777" w:rsidR="00EA3540" w:rsidRPr="00820E0B" w:rsidRDefault="00EA3540" w:rsidP="00EA3540">
      <w:pPr>
        <w:spacing w:after="120" w:line="253" w:lineRule="atLeast"/>
        <w:jc w:val="both"/>
        <w:rPr>
          <w:rFonts w:ascii="Calibri" w:eastAsia="Times New Roman" w:hAnsi="Calibri" w:cs="Calibri"/>
          <w:color w:val="000000"/>
          <w:lang w:eastAsia="en-GB"/>
        </w:rPr>
      </w:pPr>
      <w:r>
        <w:rPr>
          <w:rFonts w:ascii="Arial" w:eastAsia="Times New Roman" w:hAnsi="Arial" w:cs="Arial"/>
          <w:color w:val="000000"/>
          <w:sz w:val="20"/>
          <w:szCs w:val="20"/>
          <w:lang w:eastAsia="en-GB"/>
        </w:rPr>
        <w:t>Kate Pope</w:t>
      </w:r>
    </w:p>
    <w:p w14:paraId="46686EBD" w14:textId="77777777" w:rsidR="00EA3540" w:rsidRPr="00820E0B" w:rsidRDefault="00EA3540" w:rsidP="00EA3540">
      <w:pPr>
        <w:jc w:val="both"/>
        <w:rPr>
          <w:rFonts w:ascii="Calibri" w:eastAsia="Times New Roman" w:hAnsi="Calibri" w:cs="Calibri"/>
          <w:b/>
          <w:bCs/>
          <w:color w:val="000000"/>
          <w:lang w:eastAsia="en-GB"/>
        </w:rPr>
      </w:pPr>
      <w:r w:rsidRPr="00820E0B">
        <w:rPr>
          <w:rFonts w:ascii="Arial" w:eastAsia="Times New Roman" w:hAnsi="Arial" w:cs="Arial"/>
          <w:b/>
          <w:bCs/>
          <w:color w:val="000000"/>
          <w:sz w:val="20"/>
          <w:szCs w:val="20"/>
          <w:lang w:eastAsia="en-GB"/>
        </w:rPr>
        <w:t> </w:t>
      </w:r>
    </w:p>
    <w:p w14:paraId="2F6D2F2A" w14:textId="77777777" w:rsidR="00EA3540" w:rsidRPr="00820E0B" w:rsidRDefault="00EA3540" w:rsidP="00EA3540">
      <w:pPr>
        <w:jc w:val="both"/>
        <w:rPr>
          <w:rFonts w:ascii="Calibri" w:eastAsia="Times New Roman" w:hAnsi="Calibri" w:cs="Calibri"/>
          <w:b/>
          <w:bCs/>
          <w:color w:val="000000"/>
          <w:lang w:eastAsia="en-GB"/>
        </w:rPr>
      </w:pPr>
      <w:r w:rsidRPr="00820E0B">
        <w:rPr>
          <w:rFonts w:ascii="Arial" w:eastAsia="Times New Roman" w:hAnsi="Arial" w:cs="Arial"/>
          <w:b/>
          <w:bCs/>
          <w:color w:val="000000"/>
          <w:sz w:val="20"/>
          <w:szCs w:val="20"/>
          <w:lang w:eastAsia="en-GB"/>
        </w:rPr>
        <w:t>Notes to Editors:</w:t>
      </w:r>
    </w:p>
    <w:p w14:paraId="0AB72452" w14:textId="77777777" w:rsidR="00EA3540" w:rsidRPr="00820E0B" w:rsidRDefault="00EA3540" w:rsidP="00EA3540">
      <w:pPr>
        <w:jc w:val="both"/>
        <w:rPr>
          <w:rFonts w:ascii="Calibri" w:eastAsia="Times New Roman" w:hAnsi="Calibri" w:cs="Calibri"/>
          <w:b/>
          <w:bCs/>
          <w:color w:val="000000"/>
          <w:lang w:eastAsia="en-GB"/>
        </w:rPr>
      </w:pPr>
      <w:r w:rsidRPr="00820E0B">
        <w:rPr>
          <w:rFonts w:ascii="Arial" w:eastAsia="Times New Roman" w:hAnsi="Arial" w:cs="Arial"/>
          <w:b/>
          <w:bCs/>
          <w:color w:val="000000"/>
          <w:sz w:val="20"/>
          <w:szCs w:val="20"/>
          <w:lang w:eastAsia="en-GB"/>
        </w:rPr>
        <w:t> </w:t>
      </w:r>
    </w:p>
    <w:p w14:paraId="2EF90AE6" w14:textId="77777777" w:rsidR="00EA3540" w:rsidRDefault="00EA3540" w:rsidP="00EA3540">
      <w:pPr>
        <w:pStyle w:val="hg"/>
        <w:spacing w:before="0" w:beforeAutospacing="0" w:after="0" w:afterAutospacing="0"/>
        <w:jc w:val="both"/>
        <w:rPr>
          <w:rStyle w:val="ha"/>
          <w:rFonts w:ascii="Arial" w:hAnsi="Arial" w:cs="Arial"/>
          <w:color w:val="000000"/>
          <w:sz w:val="20"/>
          <w:szCs w:val="20"/>
        </w:rPr>
      </w:pPr>
      <w:r w:rsidRPr="00820E0B">
        <w:rPr>
          <w:rFonts w:ascii="Arial" w:hAnsi="Arial" w:cs="Arial"/>
          <w:color w:val="000000"/>
          <w:sz w:val="20"/>
          <w:szCs w:val="20"/>
        </w:rPr>
        <w:t>Fever-Tree is the world's leading supplier of premium carbonated mixers for alcoholic spirits by retail sales value, with distribution to over 70 countries worldwide. Based in the UK, the brand was launched in 2005 to provide high quality mixers which could cater to the growing demand for premium spirits, in particular gin, but also increasingly for vodka, rum and whisky. The Company sells a range of carbonated mixers to hotels, restaurants, bars and cafes ("On</w:t>
      </w:r>
      <w:r>
        <w:rPr>
          <w:rFonts w:ascii="Arial" w:hAnsi="Arial" w:cs="Arial"/>
          <w:color w:val="000000"/>
          <w:sz w:val="20"/>
          <w:szCs w:val="20"/>
        </w:rPr>
        <w:t>-</w:t>
      </w:r>
      <w:r w:rsidRPr="00820E0B">
        <w:rPr>
          <w:rFonts w:ascii="Arial" w:hAnsi="Arial" w:cs="Arial"/>
          <w:color w:val="000000"/>
          <w:sz w:val="20"/>
          <w:szCs w:val="20"/>
        </w:rPr>
        <w:t>Trade") as well as selected retail outlets ("Off</w:t>
      </w:r>
      <w:r>
        <w:rPr>
          <w:rFonts w:ascii="Arial" w:hAnsi="Arial" w:cs="Arial"/>
          <w:color w:val="000000"/>
          <w:sz w:val="20"/>
          <w:szCs w:val="20"/>
        </w:rPr>
        <w:t>-</w:t>
      </w:r>
      <w:r w:rsidRPr="00820E0B">
        <w:rPr>
          <w:rFonts w:ascii="Arial" w:hAnsi="Arial" w:cs="Arial"/>
          <w:color w:val="000000"/>
          <w:sz w:val="20"/>
          <w:szCs w:val="20"/>
        </w:rPr>
        <w:t>Trade").</w:t>
      </w:r>
    </w:p>
    <w:p w14:paraId="2323DA5F" w14:textId="77777777" w:rsidR="00EA3540" w:rsidRDefault="00EA3540" w:rsidP="00EA3540">
      <w:pPr>
        <w:rPr>
          <w:rFonts w:ascii="Arial" w:hAnsi="Arial" w:cs="Arial"/>
          <w:b/>
          <w:sz w:val="20"/>
          <w:szCs w:val="20"/>
        </w:rPr>
      </w:pPr>
      <w:r w:rsidRPr="00E062A3">
        <w:rPr>
          <w:rFonts w:ascii="Arial" w:eastAsia="Calibri" w:hAnsi="Arial" w:cs="Arial"/>
          <w:sz w:val="20"/>
          <w:szCs w:val="20"/>
          <w:bdr w:val="none" w:sz="0" w:space="0" w:color="auto"/>
          <w:lang w:val="en-GB"/>
        </w:rPr>
        <w:br w:type="page"/>
      </w:r>
      <w:r w:rsidRPr="00080A5A">
        <w:rPr>
          <w:rFonts w:ascii="Arial" w:hAnsi="Arial" w:cs="Arial"/>
          <w:b/>
          <w:sz w:val="20"/>
          <w:szCs w:val="20"/>
        </w:rPr>
        <w:lastRenderedPageBreak/>
        <w:t>Chief Executive’s report</w:t>
      </w:r>
    </w:p>
    <w:p w14:paraId="317D268F" w14:textId="77777777" w:rsidR="00EA3540" w:rsidRDefault="00EA3540" w:rsidP="00EA3540">
      <w:pPr>
        <w:rPr>
          <w:rFonts w:ascii="Arial" w:hAnsi="Arial" w:cs="Arial"/>
          <w:b/>
          <w:sz w:val="20"/>
          <w:szCs w:val="20"/>
        </w:rPr>
      </w:pPr>
    </w:p>
    <w:p w14:paraId="293D10B2" w14:textId="3E723562" w:rsidR="00EA3540" w:rsidRDefault="00EA3540" w:rsidP="00EA3540">
      <w:pPr>
        <w:jc w:val="both"/>
        <w:rPr>
          <w:rFonts w:ascii="Arial" w:hAnsi="Arial" w:cs="Arial"/>
          <w:bCs/>
          <w:sz w:val="20"/>
          <w:szCs w:val="20"/>
        </w:rPr>
      </w:pPr>
      <w:r w:rsidRPr="009E2E81">
        <w:rPr>
          <w:rFonts w:ascii="Arial" w:hAnsi="Arial" w:cs="Arial"/>
          <w:bCs/>
          <w:sz w:val="20"/>
          <w:szCs w:val="20"/>
        </w:rPr>
        <w:t>It has been a</w:t>
      </w:r>
      <w:r>
        <w:rPr>
          <w:rFonts w:ascii="Arial" w:hAnsi="Arial" w:cs="Arial"/>
          <w:bCs/>
          <w:sz w:val="20"/>
          <w:szCs w:val="20"/>
        </w:rPr>
        <w:t xml:space="preserve">n encouraging </w:t>
      </w:r>
      <w:r w:rsidRPr="009E2E81">
        <w:rPr>
          <w:rFonts w:ascii="Arial" w:hAnsi="Arial" w:cs="Arial"/>
          <w:bCs/>
          <w:sz w:val="20"/>
          <w:szCs w:val="20"/>
        </w:rPr>
        <w:t>half for the Group, with all of our regions seeing continued growth despite lapping some exceptional comparatives</w:t>
      </w:r>
      <w:r>
        <w:rPr>
          <w:rFonts w:ascii="Arial" w:hAnsi="Arial" w:cs="Arial"/>
          <w:bCs/>
          <w:sz w:val="20"/>
          <w:szCs w:val="20"/>
        </w:rPr>
        <w:t xml:space="preserve">. Fever-Tree is now market leader across the whole UK mixer category and we have continued to gain distribution. </w:t>
      </w:r>
      <w:r w:rsidRPr="002B44A0">
        <w:rPr>
          <w:rFonts w:ascii="Arial" w:hAnsi="Arial" w:cs="Arial"/>
          <w:bCs/>
          <w:sz w:val="20"/>
          <w:szCs w:val="20"/>
        </w:rPr>
        <w:t xml:space="preserve"> </w:t>
      </w:r>
      <w:r>
        <w:rPr>
          <w:rFonts w:ascii="Arial" w:hAnsi="Arial" w:cs="Arial"/>
          <w:bCs/>
          <w:sz w:val="20"/>
          <w:szCs w:val="20"/>
        </w:rPr>
        <w:t xml:space="preserve">The US delivered a very strong performance, </w:t>
      </w:r>
      <w:r>
        <w:rPr>
          <w:rFonts w:ascii="Arial" w:hAnsi="Arial" w:cs="Arial"/>
          <w:sz w:val="20"/>
          <w:szCs w:val="20"/>
        </w:rPr>
        <w:t xml:space="preserve">building on the operational changes made and infrastructure put in place since </w:t>
      </w:r>
      <w:r w:rsidR="005955D0">
        <w:rPr>
          <w:rFonts w:ascii="Arial" w:hAnsi="Arial" w:cs="Arial"/>
          <w:sz w:val="20"/>
          <w:szCs w:val="20"/>
        </w:rPr>
        <w:t xml:space="preserve">taking direct management of our US operations </w:t>
      </w:r>
      <w:r>
        <w:rPr>
          <w:rFonts w:ascii="Arial" w:hAnsi="Arial" w:cs="Arial"/>
          <w:sz w:val="20"/>
          <w:szCs w:val="20"/>
        </w:rPr>
        <w:t xml:space="preserve">in June 2018. </w:t>
      </w:r>
      <w:r>
        <w:rPr>
          <w:rFonts w:ascii="Arial" w:hAnsi="Arial" w:cs="Arial"/>
          <w:bCs/>
          <w:sz w:val="20"/>
          <w:szCs w:val="20"/>
        </w:rPr>
        <w:t xml:space="preserve">We are increasingly </w:t>
      </w:r>
      <w:r w:rsidRPr="009E2E81">
        <w:rPr>
          <w:rFonts w:ascii="Arial" w:hAnsi="Arial" w:cs="Arial"/>
          <w:bCs/>
          <w:sz w:val="20"/>
          <w:szCs w:val="20"/>
        </w:rPr>
        <w:t>optimistic about the global opportunity for Fever-Tree and continue to invest across all our regions, particularly the US and Europe</w:t>
      </w:r>
      <w:r>
        <w:rPr>
          <w:rFonts w:ascii="Arial" w:hAnsi="Arial" w:cs="Arial"/>
          <w:bCs/>
          <w:sz w:val="20"/>
          <w:szCs w:val="20"/>
        </w:rPr>
        <w:t>.</w:t>
      </w:r>
    </w:p>
    <w:p w14:paraId="26B640DA" w14:textId="77777777" w:rsidR="00EA3540" w:rsidRPr="004A087A" w:rsidRDefault="00EA3540" w:rsidP="00EA3540">
      <w:pPr>
        <w:rPr>
          <w:rFonts w:ascii="Arial" w:hAnsi="Arial" w:cs="Arial"/>
          <w:bCs/>
          <w:sz w:val="20"/>
          <w:szCs w:val="20"/>
        </w:rPr>
      </w:pPr>
    </w:p>
    <w:p w14:paraId="38E2A9E9" w14:textId="77777777" w:rsidR="00EA3540" w:rsidRPr="004A087A" w:rsidRDefault="00EA3540" w:rsidP="00EA3540">
      <w:pPr>
        <w:jc w:val="both"/>
        <w:rPr>
          <w:rFonts w:ascii="Arial" w:hAnsi="Arial" w:cs="Arial"/>
          <w:bCs/>
          <w:sz w:val="20"/>
          <w:szCs w:val="20"/>
        </w:rPr>
      </w:pPr>
      <w:r w:rsidRPr="004A087A">
        <w:rPr>
          <w:rFonts w:ascii="Arial" w:hAnsi="Arial" w:cs="Arial"/>
          <w:bCs/>
          <w:sz w:val="20"/>
          <w:szCs w:val="20"/>
        </w:rPr>
        <w:t>During the period, the Group delivered revenue of £</w:t>
      </w:r>
      <w:r>
        <w:rPr>
          <w:rFonts w:ascii="Arial" w:hAnsi="Arial" w:cs="Arial"/>
          <w:bCs/>
          <w:sz w:val="20"/>
          <w:szCs w:val="20"/>
        </w:rPr>
        <w:t>117.3</w:t>
      </w:r>
      <w:r w:rsidRPr="004A087A">
        <w:rPr>
          <w:rFonts w:ascii="Arial" w:hAnsi="Arial" w:cs="Arial"/>
          <w:bCs/>
          <w:sz w:val="20"/>
          <w:szCs w:val="20"/>
        </w:rPr>
        <w:t xml:space="preserve">m, representing growth of </w:t>
      </w:r>
      <w:r>
        <w:rPr>
          <w:rFonts w:ascii="Arial" w:hAnsi="Arial" w:cs="Arial"/>
          <w:bCs/>
          <w:sz w:val="20"/>
          <w:szCs w:val="20"/>
        </w:rPr>
        <w:t>13</w:t>
      </w:r>
      <w:r w:rsidRPr="004A087A">
        <w:rPr>
          <w:rFonts w:ascii="Arial" w:hAnsi="Arial" w:cs="Arial"/>
          <w:bCs/>
          <w:sz w:val="20"/>
          <w:szCs w:val="20"/>
        </w:rPr>
        <w:t>% on the first half of 2018.</w:t>
      </w:r>
    </w:p>
    <w:p w14:paraId="6A9D2AC1" w14:textId="77777777" w:rsidR="00EA3540" w:rsidRDefault="00EA3540" w:rsidP="00EA3540">
      <w:pPr>
        <w:rPr>
          <w:rFonts w:ascii="Arial" w:hAnsi="Arial" w:cs="Arial"/>
          <w:b/>
          <w:sz w:val="20"/>
          <w:szCs w:val="20"/>
        </w:rPr>
      </w:pPr>
    </w:p>
    <w:p w14:paraId="2A7E2986" w14:textId="09B6D73C" w:rsidR="00EA3540" w:rsidRPr="00995D09" w:rsidRDefault="00EA3540" w:rsidP="00EA3540">
      <w:pPr>
        <w:jc w:val="both"/>
        <w:rPr>
          <w:rFonts w:ascii="Arial" w:hAnsi="Arial" w:cs="Arial"/>
          <w:sz w:val="20"/>
          <w:szCs w:val="20"/>
        </w:rPr>
      </w:pPr>
      <w:r w:rsidRPr="004A087A">
        <w:rPr>
          <w:rFonts w:ascii="Arial" w:hAnsi="Arial" w:cs="Arial"/>
          <w:sz w:val="20"/>
          <w:szCs w:val="20"/>
        </w:rPr>
        <w:t xml:space="preserve">Gross profit margin </w:t>
      </w:r>
      <w:r>
        <w:rPr>
          <w:rFonts w:ascii="Arial" w:hAnsi="Arial" w:cs="Arial"/>
          <w:sz w:val="20"/>
          <w:szCs w:val="20"/>
        </w:rPr>
        <w:t>remained strong at</w:t>
      </w:r>
      <w:r w:rsidRPr="004A087A">
        <w:rPr>
          <w:rFonts w:ascii="Arial" w:hAnsi="Arial" w:cs="Arial"/>
          <w:sz w:val="20"/>
          <w:szCs w:val="20"/>
        </w:rPr>
        <w:t xml:space="preserve"> </w:t>
      </w:r>
      <w:r>
        <w:rPr>
          <w:rFonts w:ascii="Arial" w:hAnsi="Arial" w:cs="Arial"/>
          <w:sz w:val="20"/>
          <w:szCs w:val="20"/>
        </w:rPr>
        <w:t>51.9</w:t>
      </w:r>
      <w:r w:rsidRPr="004A087A">
        <w:rPr>
          <w:rFonts w:ascii="Arial" w:hAnsi="Arial" w:cs="Arial"/>
          <w:sz w:val="20"/>
          <w:szCs w:val="20"/>
        </w:rPr>
        <w:t>%, with the Group delivering an adjusted EBITDA of £</w:t>
      </w:r>
      <w:r>
        <w:rPr>
          <w:rFonts w:ascii="Arial" w:hAnsi="Arial" w:cs="Arial"/>
          <w:sz w:val="20"/>
          <w:szCs w:val="20"/>
        </w:rPr>
        <w:t>36.7</w:t>
      </w:r>
      <w:r w:rsidRPr="004A087A">
        <w:rPr>
          <w:rFonts w:ascii="Arial" w:hAnsi="Arial" w:cs="Arial"/>
          <w:sz w:val="20"/>
          <w:szCs w:val="20"/>
        </w:rPr>
        <w:t>m</w:t>
      </w:r>
      <w:r>
        <w:rPr>
          <w:rFonts w:ascii="Arial" w:hAnsi="Arial" w:cs="Arial"/>
          <w:sz w:val="20"/>
          <w:szCs w:val="20"/>
        </w:rPr>
        <w:t>,</w:t>
      </w:r>
      <w:r w:rsidRPr="004A087A">
        <w:rPr>
          <w:rFonts w:ascii="Arial" w:hAnsi="Arial" w:cs="Arial"/>
          <w:sz w:val="20"/>
          <w:szCs w:val="20"/>
        </w:rPr>
        <w:t xml:space="preserve"> representing a</w:t>
      </w:r>
      <w:r>
        <w:rPr>
          <w:rFonts w:ascii="Arial" w:hAnsi="Arial" w:cs="Arial"/>
          <w:sz w:val="20"/>
          <w:szCs w:val="20"/>
        </w:rPr>
        <w:t>n adjusted EBITDA</w:t>
      </w:r>
      <w:r w:rsidRPr="004A087A">
        <w:rPr>
          <w:rFonts w:ascii="Arial" w:hAnsi="Arial" w:cs="Arial"/>
          <w:sz w:val="20"/>
          <w:szCs w:val="20"/>
        </w:rPr>
        <w:t xml:space="preserve"> margin of </w:t>
      </w:r>
      <w:r>
        <w:rPr>
          <w:rFonts w:ascii="Arial" w:hAnsi="Arial" w:cs="Arial"/>
          <w:sz w:val="20"/>
          <w:szCs w:val="20"/>
        </w:rPr>
        <w:t>31.3</w:t>
      </w:r>
      <w:r w:rsidRPr="004A087A">
        <w:rPr>
          <w:rFonts w:ascii="Arial" w:hAnsi="Arial" w:cs="Arial"/>
          <w:sz w:val="20"/>
          <w:szCs w:val="20"/>
        </w:rPr>
        <w:t xml:space="preserve">%. This performance resulted in diluted earnings per share in the six month period of </w:t>
      </w:r>
      <w:r>
        <w:rPr>
          <w:rFonts w:ascii="Arial" w:hAnsi="Arial" w:cs="Arial"/>
          <w:sz w:val="20"/>
          <w:szCs w:val="20"/>
        </w:rPr>
        <w:t>24.</w:t>
      </w:r>
      <w:r w:rsidRPr="00B82ADE">
        <w:rPr>
          <w:rFonts w:ascii="Arial" w:hAnsi="Arial" w:cs="Arial"/>
          <w:sz w:val="20"/>
          <w:szCs w:val="20"/>
        </w:rPr>
        <w:t>30</w:t>
      </w:r>
      <w:r w:rsidR="00CA3DB6">
        <w:rPr>
          <w:rFonts w:ascii="Arial" w:hAnsi="Arial" w:cs="Arial"/>
          <w:sz w:val="20"/>
          <w:szCs w:val="20"/>
        </w:rPr>
        <w:t>p</w:t>
      </w:r>
      <w:r w:rsidRPr="00B82ADE">
        <w:rPr>
          <w:rFonts w:ascii="Arial" w:hAnsi="Arial" w:cs="Arial"/>
          <w:sz w:val="20"/>
          <w:szCs w:val="20"/>
        </w:rPr>
        <w:t xml:space="preserve"> (H1</w:t>
      </w:r>
      <w:r w:rsidRPr="004A087A">
        <w:rPr>
          <w:rFonts w:ascii="Arial" w:hAnsi="Arial" w:cs="Arial"/>
          <w:sz w:val="20"/>
          <w:szCs w:val="20"/>
        </w:rPr>
        <w:t xml:space="preserve"> 2018: 22.72p), up </w:t>
      </w:r>
      <w:r w:rsidRPr="00C77B57">
        <w:rPr>
          <w:rFonts w:ascii="Arial" w:hAnsi="Arial" w:cs="Arial"/>
          <w:sz w:val="20"/>
          <w:szCs w:val="20"/>
        </w:rPr>
        <w:t>7</w:t>
      </w:r>
      <w:r w:rsidRPr="004A087A">
        <w:rPr>
          <w:rFonts w:ascii="Arial" w:hAnsi="Arial" w:cs="Arial"/>
          <w:sz w:val="20"/>
          <w:szCs w:val="20"/>
        </w:rPr>
        <w:t xml:space="preserve">% on H1 2018. The Group’s balance sheet remains </w:t>
      </w:r>
      <w:r>
        <w:rPr>
          <w:rFonts w:ascii="Arial" w:hAnsi="Arial" w:cs="Arial"/>
          <w:sz w:val="20"/>
          <w:szCs w:val="20"/>
        </w:rPr>
        <w:t xml:space="preserve">robust </w:t>
      </w:r>
      <w:r w:rsidRPr="004A087A">
        <w:rPr>
          <w:rFonts w:ascii="Arial" w:hAnsi="Arial" w:cs="Arial"/>
          <w:sz w:val="20"/>
          <w:szCs w:val="20"/>
        </w:rPr>
        <w:t>with</w:t>
      </w:r>
      <w:r w:rsidR="00446AEF">
        <w:rPr>
          <w:rFonts w:ascii="Arial" w:hAnsi="Arial" w:cs="Arial"/>
          <w:sz w:val="20"/>
          <w:szCs w:val="20"/>
        </w:rPr>
        <w:t xml:space="preserve"> net</w:t>
      </w:r>
      <w:r w:rsidRPr="004A087A">
        <w:rPr>
          <w:rFonts w:ascii="Arial" w:hAnsi="Arial" w:cs="Arial"/>
          <w:sz w:val="20"/>
          <w:szCs w:val="20"/>
        </w:rPr>
        <w:t xml:space="preserve"> cash of £</w:t>
      </w:r>
      <w:r>
        <w:rPr>
          <w:rFonts w:ascii="Arial" w:hAnsi="Arial" w:cs="Arial"/>
          <w:sz w:val="20"/>
          <w:szCs w:val="20"/>
        </w:rPr>
        <w:t>104.1</w:t>
      </w:r>
      <w:r w:rsidRPr="004A087A">
        <w:rPr>
          <w:rFonts w:ascii="Arial" w:hAnsi="Arial" w:cs="Arial"/>
          <w:sz w:val="20"/>
          <w:szCs w:val="20"/>
        </w:rPr>
        <w:t>m</w:t>
      </w:r>
      <w:r>
        <w:rPr>
          <w:rFonts w:ascii="Arial" w:hAnsi="Arial" w:cs="Arial"/>
          <w:sz w:val="20"/>
          <w:szCs w:val="20"/>
        </w:rPr>
        <w:t xml:space="preserve"> at the period end</w:t>
      </w:r>
      <w:r w:rsidRPr="004A087A">
        <w:rPr>
          <w:rFonts w:ascii="Arial" w:hAnsi="Arial" w:cs="Arial"/>
          <w:sz w:val="20"/>
          <w:szCs w:val="20"/>
        </w:rPr>
        <w:t xml:space="preserve"> (H1 2018: £</w:t>
      </w:r>
      <w:r w:rsidRPr="004A087A">
        <w:rPr>
          <w:rStyle w:val="ha"/>
          <w:rFonts w:ascii="Arial" w:hAnsi="Arial" w:cs="Arial"/>
          <w:color w:val="000000"/>
          <w:sz w:val="20"/>
          <w:szCs w:val="20"/>
        </w:rPr>
        <w:t>56.4</w:t>
      </w:r>
      <w:r w:rsidRPr="004A087A">
        <w:rPr>
          <w:rFonts w:ascii="Arial" w:hAnsi="Arial" w:cs="Arial"/>
          <w:sz w:val="20"/>
          <w:szCs w:val="20"/>
        </w:rPr>
        <w:t>m).</w:t>
      </w:r>
    </w:p>
    <w:p w14:paraId="450BB360" w14:textId="77777777" w:rsidR="00EA3540" w:rsidRDefault="00EA3540" w:rsidP="00EA3540">
      <w:pPr>
        <w:rPr>
          <w:rFonts w:ascii="Arial" w:hAnsi="Arial" w:cs="Arial"/>
          <w:b/>
          <w:sz w:val="20"/>
          <w:szCs w:val="20"/>
        </w:rPr>
      </w:pPr>
    </w:p>
    <w:p w14:paraId="6CED3E77" w14:textId="77777777" w:rsidR="00EA3540" w:rsidRPr="00DD162A" w:rsidRDefault="00EA3540" w:rsidP="00EA3540">
      <w:pPr>
        <w:jc w:val="both"/>
        <w:rPr>
          <w:rFonts w:ascii="Arial" w:hAnsi="Arial" w:cs="Arial"/>
          <w:sz w:val="20"/>
          <w:szCs w:val="20"/>
        </w:rPr>
      </w:pPr>
    </w:p>
    <w:p w14:paraId="64825E34" w14:textId="77777777" w:rsidR="00EA3540" w:rsidRPr="00DD162A" w:rsidRDefault="00EA3540" w:rsidP="00EA3540">
      <w:pPr>
        <w:jc w:val="both"/>
        <w:rPr>
          <w:rFonts w:ascii="Arial" w:hAnsi="Arial" w:cs="Arial"/>
          <w:b/>
          <w:sz w:val="20"/>
          <w:szCs w:val="20"/>
        </w:rPr>
      </w:pPr>
      <w:r w:rsidRPr="00DD162A">
        <w:rPr>
          <w:rFonts w:ascii="Arial" w:hAnsi="Arial" w:cs="Arial"/>
          <w:b/>
          <w:sz w:val="20"/>
          <w:szCs w:val="20"/>
        </w:rPr>
        <w:t>Results</w:t>
      </w:r>
    </w:p>
    <w:p w14:paraId="7864DE35" w14:textId="77777777" w:rsidR="00EA3540" w:rsidRPr="00DD162A" w:rsidRDefault="00EA3540" w:rsidP="00EA3540">
      <w:pPr>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47"/>
        <w:gridCol w:w="1701"/>
        <w:gridCol w:w="1701"/>
        <w:gridCol w:w="1160"/>
        <w:gridCol w:w="1901"/>
      </w:tblGrid>
      <w:tr w:rsidR="00EA3540" w:rsidRPr="00DD162A" w14:paraId="37DE9B68" w14:textId="77777777" w:rsidTr="00A90500">
        <w:tc>
          <w:tcPr>
            <w:tcW w:w="2547" w:type="dxa"/>
            <w:tcBorders>
              <w:top w:val="single" w:sz="4" w:space="0" w:color="auto"/>
              <w:bottom w:val="nil"/>
            </w:tcBorders>
            <w:shd w:val="clear" w:color="auto" w:fill="auto"/>
          </w:tcPr>
          <w:p w14:paraId="50AD97FB" w14:textId="77777777" w:rsidR="00EA3540" w:rsidRPr="00DD162A" w:rsidRDefault="00EA3540" w:rsidP="00A90500">
            <w:pPr>
              <w:jc w:val="both"/>
              <w:rPr>
                <w:rFonts w:ascii="Arial" w:hAnsi="Arial" w:cs="Arial"/>
                <w:sz w:val="20"/>
                <w:szCs w:val="20"/>
              </w:rPr>
            </w:pPr>
          </w:p>
        </w:tc>
        <w:tc>
          <w:tcPr>
            <w:tcW w:w="1701" w:type="dxa"/>
            <w:tcBorders>
              <w:top w:val="single" w:sz="4" w:space="0" w:color="auto"/>
              <w:bottom w:val="nil"/>
            </w:tcBorders>
            <w:shd w:val="clear" w:color="auto" w:fill="auto"/>
            <w:vAlign w:val="bottom"/>
          </w:tcPr>
          <w:p w14:paraId="2EAC546C" w14:textId="77777777" w:rsidR="00EA3540" w:rsidRPr="00ED3000" w:rsidRDefault="00EA3540" w:rsidP="00A90500">
            <w:pPr>
              <w:jc w:val="right"/>
              <w:rPr>
                <w:rFonts w:ascii="Arial" w:hAnsi="Arial" w:cs="Arial"/>
                <w:sz w:val="20"/>
                <w:szCs w:val="20"/>
              </w:rPr>
            </w:pPr>
            <w:r w:rsidRPr="00ED3000">
              <w:rPr>
                <w:rFonts w:ascii="Arial" w:hAnsi="Arial" w:cs="Arial"/>
                <w:sz w:val="20"/>
                <w:szCs w:val="20"/>
              </w:rPr>
              <w:t>Half year ended 30 June 2019</w:t>
            </w:r>
          </w:p>
        </w:tc>
        <w:tc>
          <w:tcPr>
            <w:tcW w:w="1701" w:type="dxa"/>
            <w:tcBorders>
              <w:top w:val="single" w:sz="4" w:space="0" w:color="auto"/>
              <w:bottom w:val="nil"/>
            </w:tcBorders>
            <w:shd w:val="clear" w:color="auto" w:fill="auto"/>
            <w:vAlign w:val="bottom"/>
          </w:tcPr>
          <w:p w14:paraId="242F7DB7" w14:textId="77777777" w:rsidR="00EA3540" w:rsidRPr="00DD162A" w:rsidRDefault="00EA3540" w:rsidP="00A90500">
            <w:pPr>
              <w:jc w:val="right"/>
              <w:rPr>
                <w:rFonts w:ascii="Arial" w:hAnsi="Arial" w:cs="Arial"/>
                <w:sz w:val="20"/>
                <w:szCs w:val="20"/>
              </w:rPr>
            </w:pPr>
            <w:r w:rsidRPr="00DD162A">
              <w:rPr>
                <w:rFonts w:ascii="Arial" w:hAnsi="Arial" w:cs="Arial"/>
                <w:sz w:val="20"/>
                <w:szCs w:val="20"/>
              </w:rPr>
              <w:t xml:space="preserve">Half year ended 30 June </w:t>
            </w:r>
            <w:r>
              <w:rPr>
                <w:rFonts w:ascii="Arial" w:hAnsi="Arial" w:cs="Arial"/>
                <w:sz w:val="20"/>
                <w:szCs w:val="20"/>
              </w:rPr>
              <w:t>2018</w:t>
            </w:r>
          </w:p>
        </w:tc>
        <w:tc>
          <w:tcPr>
            <w:tcW w:w="1160" w:type="dxa"/>
            <w:tcBorders>
              <w:top w:val="single" w:sz="4" w:space="0" w:color="auto"/>
              <w:bottom w:val="nil"/>
            </w:tcBorders>
            <w:shd w:val="clear" w:color="auto" w:fill="auto"/>
            <w:vAlign w:val="bottom"/>
          </w:tcPr>
          <w:p w14:paraId="4CF69E16" w14:textId="77777777" w:rsidR="00EA3540" w:rsidRPr="00DD162A" w:rsidRDefault="00EA3540" w:rsidP="00A90500">
            <w:pPr>
              <w:jc w:val="right"/>
              <w:rPr>
                <w:rFonts w:ascii="Arial" w:hAnsi="Arial" w:cs="Arial"/>
                <w:sz w:val="20"/>
                <w:szCs w:val="20"/>
              </w:rPr>
            </w:pPr>
            <w:r>
              <w:rPr>
                <w:rFonts w:ascii="Arial" w:hAnsi="Arial" w:cs="Arial"/>
                <w:sz w:val="20"/>
                <w:szCs w:val="20"/>
              </w:rPr>
              <w:t xml:space="preserve">Reported </w:t>
            </w:r>
            <w:r w:rsidRPr="00DD162A">
              <w:rPr>
                <w:rFonts w:ascii="Arial" w:hAnsi="Arial" w:cs="Arial"/>
                <w:sz w:val="20"/>
                <w:szCs w:val="20"/>
              </w:rPr>
              <w:t>Movement</w:t>
            </w:r>
          </w:p>
        </w:tc>
        <w:tc>
          <w:tcPr>
            <w:tcW w:w="1901" w:type="dxa"/>
            <w:tcBorders>
              <w:top w:val="single" w:sz="4" w:space="0" w:color="auto"/>
              <w:bottom w:val="nil"/>
            </w:tcBorders>
          </w:tcPr>
          <w:p w14:paraId="2C1B8C35" w14:textId="77777777" w:rsidR="00EA3540" w:rsidRPr="00C77B57" w:rsidRDefault="00EA3540" w:rsidP="00A90500">
            <w:pPr>
              <w:jc w:val="right"/>
              <w:rPr>
                <w:rFonts w:ascii="Arial" w:hAnsi="Arial" w:cs="Arial"/>
                <w:sz w:val="20"/>
                <w:szCs w:val="20"/>
              </w:rPr>
            </w:pPr>
            <w:r w:rsidRPr="00C77B57">
              <w:rPr>
                <w:rFonts w:ascii="Arial" w:hAnsi="Arial" w:cs="Arial"/>
                <w:sz w:val="20"/>
                <w:szCs w:val="20"/>
              </w:rPr>
              <w:t>Constant Currency Movement</w:t>
            </w:r>
          </w:p>
        </w:tc>
      </w:tr>
      <w:tr w:rsidR="00EA3540" w:rsidRPr="00DD162A" w14:paraId="7A7411C5" w14:textId="77777777" w:rsidTr="00A90500">
        <w:tc>
          <w:tcPr>
            <w:tcW w:w="2547" w:type="dxa"/>
            <w:tcBorders>
              <w:top w:val="nil"/>
              <w:bottom w:val="single" w:sz="4" w:space="0" w:color="auto"/>
            </w:tcBorders>
            <w:shd w:val="clear" w:color="auto" w:fill="auto"/>
          </w:tcPr>
          <w:p w14:paraId="71FCA990" w14:textId="77777777" w:rsidR="00EA3540" w:rsidRPr="00DD162A" w:rsidRDefault="00EA3540" w:rsidP="00A90500">
            <w:pPr>
              <w:jc w:val="both"/>
              <w:rPr>
                <w:rFonts w:ascii="Arial" w:hAnsi="Arial" w:cs="Arial"/>
                <w:sz w:val="20"/>
                <w:szCs w:val="20"/>
              </w:rPr>
            </w:pPr>
          </w:p>
        </w:tc>
        <w:tc>
          <w:tcPr>
            <w:tcW w:w="1701" w:type="dxa"/>
            <w:tcBorders>
              <w:top w:val="nil"/>
              <w:bottom w:val="single" w:sz="4" w:space="0" w:color="auto"/>
            </w:tcBorders>
            <w:shd w:val="clear" w:color="auto" w:fill="auto"/>
          </w:tcPr>
          <w:p w14:paraId="0501EFC7" w14:textId="77777777" w:rsidR="00EA3540" w:rsidRPr="00ED3000" w:rsidRDefault="00EA3540" w:rsidP="00A90500">
            <w:pPr>
              <w:jc w:val="right"/>
              <w:rPr>
                <w:rFonts w:ascii="Arial" w:hAnsi="Arial" w:cs="Arial"/>
                <w:sz w:val="20"/>
                <w:szCs w:val="20"/>
              </w:rPr>
            </w:pPr>
            <w:r w:rsidRPr="00ED3000">
              <w:rPr>
                <w:rFonts w:ascii="Arial" w:hAnsi="Arial" w:cs="Arial"/>
                <w:sz w:val="20"/>
                <w:szCs w:val="20"/>
              </w:rPr>
              <w:t>£m</w:t>
            </w:r>
          </w:p>
        </w:tc>
        <w:tc>
          <w:tcPr>
            <w:tcW w:w="1701" w:type="dxa"/>
            <w:tcBorders>
              <w:top w:val="nil"/>
              <w:bottom w:val="single" w:sz="4" w:space="0" w:color="auto"/>
            </w:tcBorders>
            <w:shd w:val="clear" w:color="auto" w:fill="auto"/>
          </w:tcPr>
          <w:p w14:paraId="36585F83" w14:textId="77777777" w:rsidR="00EA3540" w:rsidRPr="00DD162A" w:rsidRDefault="00EA3540" w:rsidP="00A90500">
            <w:pPr>
              <w:jc w:val="right"/>
              <w:rPr>
                <w:rFonts w:ascii="Arial" w:hAnsi="Arial" w:cs="Arial"/>
                <w:sz w:val="20"/>
                <w:szCs w:val="20"/>
              </w:rPr>
            </w:pPr>
            <w:r w:rsidRPr="00DD162A">
              <w:rPr>
                <w:rFonts w:ascii="Arial" w:hAnsi="Arial" w:cs="Arial"/>
                <w:sz w:val="20"/>
                <w:szCs w:val="20"/>
              </w:rPr>
              <w:t>£m</w:t>
            </w:r>
          </w:p>
        </w:tc>
        <w:tc>
          <w:tcPr>
            <w:tcW w:w="1160" w:type="dxa"/>
            <w:tcBorders>
              <w:top w:val="nil"/>
              <w:bottom w:val="single" w:sz="4" w:space="0" w:color="auto"/>
            </w:tcBorders>
            <w:shd w:val="clear" w:color="auto" w:fill="auto"/>
          </w:tcPr>
          <w:p w14:paraId="77550399" w14:textId="77777777" w:rsidR="00EA3540" w:rsidRPr="00DD162A" w:rsidRDefault="00EA3540" w:rsidP="00A90500">
            <w:pPr>
              <w:jc w:val="right"/>
              <w:rPr>
                <w:rFonts w:ascii="Arial" w:hAnsi="Arial" w:cs="Arial"/>
                <w:sz w:val="20"/>
                <w:szCs w:val="20"/>
              </w:rPr>
            </w:pPr>
            <w:r w:rsidRPr="00DD162A">
              <w:rPr>
                <w:rFonts w:ascii="Arial" w:hAnsi="Arial" w:cs="Arial"/>
                <w:sz w:val="20"/>
                <w:szCs w:val="20"/>
              </w:rPr>
              <w:t>%</w:t>
            </w:r>
          </w:p>
        </w:tc>
        <w:tc>
          <w:tcPr>
            <w:tcW w:w="1901" w:type="dxa"/>
            <w:tcBorders>
              <w:top w:val="nil"/>
              <w:bottom w:val="single" w:sz="4" w:space="0" w:color="auto"/>
            </w:tcBorders>
          </w:tcPr>
          <w:p w14:paraId="1377EAB6" w14:textId="77777777" w:rsidR="00EA3540" w:rsidRPr="00C77B57" w:rsidRDefault="00EA3540" w:rsidP="00A90500">
            <w:pPr>
              <w:jc w:val="right"/>
              <w:rPr>
                <w:rFonts w:ascii="Arial" w:hAnsi="Arial" w:cs="Arial"/>
                <w:sz w:val="20"/>
                <w:szCs w:val="20"/>
              </w:rPr>
            </w:pPr>
            <w:r w:rsidRPr="00C77B57">
              <w:rPr>
                <w:rFonts w:ascii="Arial" w:hAnsi="Arial" w:cs="Arial"/>
                <w:sz w:val="20"/>
                <w:szCs w:val="20"/>
              </w:rPr>
              <w:t>%</w:t>
            </w:r>
          </w:p>
        </w:tc>
      </w:tr>
      <w:tr w:rsidR="00EA3540" w:rsidRPr="00DD162A" w14:paraId="10C9F68D" w14:textId="77777777" w:rsidTr="00A90500">
        <w:tc>
          <w:tcPr>
            <w:tcW w:w="2547" w:type="dxa"/>
            <w:tcBorders>
              <w:top w:val="single" w:sz="4" w:space="0" w:color="auto"/>
            </w:tcBorders>
            <w:shd w:val="clear" w:color="auto" w:fill="auto"/>
          </w:tcPr>
          <w:p w14:paraId="51DAA19C" w14:textId="77777777" w:rsidR="00EA3540" w:rsidRPr="00DD162A" w:rsidRDefault="00EA3540" w:rsidP="00A90500">
            <w:pPr>
              <w:jc w:val="both"/>
              <w:rPr>
                <w:rFonts w:ascii="Arial" w:hAnsi="Arial" w:cs="Arial"/>
                <w:sz w:val="20"/>
                <w:szCs w:val="20"/>
              </w:rPr>
            </w:pPr>
          </w:p>
        </w:tc>
        <w:tc>
          <w:tcPr>
            <w:tcW w:w="1701" w:type="dxa"/>
            <w:tcBorders>
              <w:top w:val="single" w:sz="4" w:space="0" w:color="auto"/>
            </w:tcBorders>
            <w:shd w:val="clear" w:color="auto" w:fill="auto"/>
          </w:tcPr>
          <w:p w14:paraId="4B76BF01" w14:textId="77777777" w:rsidR="00EA3540" w:rsidRPr="00DD162A" w:rsidRDefault="00EA3540" w:rsidP="00A90500">
            <w:pPr>
              <w:jc w:val="right"/>
              <w:rPr>
                <w:rFonts w:ascii="Arial" w:hAnsi="Arial" w:cs="Arial"/>
                <w:sz w:val="20"/>
                <w:szCs w:val="20"/>
              </w:rPr>
            </w:pPr>
          </w:p>
        </w:tc>
        <w:tc>
          <w:tcPr>
            <w:tcW w:w="1701" w:type="dxa"/>
            <w:tcBorders>
              <w:top w:val="single" w:sz="4" w:space="0" w:color="auto"/>
            </w:tcBorders>
            <w:shd w:val="clear" w:color="auto" w:fill="auto"/>
          </w:tcPr>
          <w:p w14:paraId="258A6155" w14:textId="77777777" w:rsidR="00EA3540" w:rsidRPr="00DD162A" w:rsidRDefault="00EA3540" w:rsidP="00A90500">
            <w:pPr>
              <w:jc w:val="right"/>
              <w:rPr>
                <w:rFonts w:ascii="Arial" w:hAnsi="Arial" w:cs="Arial"/>
                <w:sz w:val="20"/>
                <w:szCs w:val="20"/>
              </w:rPr>
            </w:pPr>
          </w:p>
        </w:tc>
        <w:tc>
          <w:tcPr>
            <w:tcW w:w="1160" w:type="dxa"/>
            <w:tcBorders>
              <w:top w:val="single" w:sz="4" w:space="0" w:color="auto"/>
            </w:tcBorders>
            <w:shd w:val="clear" w:color="auto" w:fill="auto"/>
          </w:tcPr>
          <w:p w14:paraId="48C4B6CC" w14:textId="77777777" w:rsidR="00EA3540" w:rsidRPr="00DD162A" w:rsidRDefault="00EA3540" w:rsidP="00A90500">
            <w:pPr>
              <w:jc w:val="right"/>
              <w:rPr>
                <w:rFonts w:ascii="Arial" w:hAnsi="Arial" w:cs="Arial"/>
                <w:sz w:val="20"/>
                <w:szCs w:val="20"/>
              </w:rPr>
            </w:pPr>
          </w:p>
        </w:tc>
        <w:tc>
          <w:tcPr>
            <w:tcW w:w="1901" w:type="dxa"/>
            <w:tcBorders>
              <w:top w:val="single" w:sz="4" w:space="0" w:color="auto"/>
            </w:tcBorders>
          </w:tcPr>
          <w:p w14:paraId="3DA57D70" w14:textId="77777777" w:rsidR="00EA3540" w:rsidRPr="00DD162A" w:rsidRDefault="00EA3540" w:rsidP="00A90500">
            <w:pPr>
              <w:jc w:val="right"/>
              <w:rPr>
                <w:rFonts w:ascii="Arial" w:hAnsi="Arial" w:cs="Arial"/>
                <w:sz w:val="20"/>
                <w:szCs w:val="20"/>
              </w:rPr>
            </w:pPr>
          </w:p>
        </w:tc>
      </w:tr>
      <w:tr w:rsidR="00EA3540" w:rsidRPr="00DD162A" w14:paraId="6B5CAD2E" w14:textId="77777777" w:rsidTr="00A90500">
        <w:tc>
          <w:tcPr>
            <w:tcW w:w="2547" w:type="dxa"/>
            <w:shd w:val="clear" w:color="auto" w:fill="auto"/>
          </w:tcPr>
          <w:p w14:paraId="2F042FED" w14:textId="77777777" w:rsidR="00EA3540" w:rsidRPr="00DD162A" w:rsidRDefault="00EA3540" w:rsidP="00A90500">
            <w:pPr>
              <w:jc w:val="both"/>
              <w:rPr>
                <w:rFonts w:ascii="Arial" w:hAnsi="Arial" w:cs="Arial"/>
                <w:sz w:val="20"/>
                <w:szCs w:val="20"/>
              </w:rPr>
            </w:pPr>
            <w:r w:rsidRPr="00DD162A">
              <w:rPr>
                <w:rFonts w:ascii="Arial" w:hAnsi="Arial" w:cs="Arial"/>
                <w:sz w:val="20"/>
                <w:szCs w:val="20"/>
              </w:rPr>
              <w:t>Revenue</w:t>
            </w:r>
          </w:p>
        </w:tc>
        <w:tc>
          <w:tcPr>
            <w:tcW w:w="1701" w:type="dxa"/>
            <w:shd w:val="clear" w:color="auto" w:fill="auto"/>
          </w:tcPr>
          <w:p w14:paraId="4EAF737C" w14:textId="77777777" w:rsidR="00EA3540" w:rsidRPr="00DD162A" w:rsidRDefault="00EA3540" w:rsidP="00A90500">
            <w:pPr>
              <w:jc w:val="right"/>
              <w:rPr>
                <w:rFonts w:ascii="Arial" w:hAnsi="Arial" w:cs="Arial"/>
                <w:sz w:val="20"/>
                <w:szCs w:val="20"/>
              </w:rPr>
            </w:pPr>
            <w:r>
              <w:rPr>
                <w:rFonts w:ascii="Arial" w:hAnsi="Arial" w:cs="Arial"/>
                <w:sz w:val="20"/>
                <w:szCs w:val="20"/>
              </w:rPr>
              <w:t>117.3</w:t>
            </w:r>
          </w:p>
        </w:tc>
        <w:tc>
          <w:tcPr>
            <w:tcW w:w="1701" w:type="dxa"/>
            <w:shd w:val="clear" w:color="auto" w:fill="auto"/>
          </w:tcPr>
          <w:p w14:paraId="3BEE3476" w14:textId="77777777" w:rsidR="00EA3540" w:rsidRPr="00DD162A" w:rsidRDefault="00EA3540" w:rsidP="00A90500">
            <w:pPr>
              <w:jc w:val="right"/>
              <w:rPr>
                <w:rFonts w:ascii="Arial" w:hAnsi="Arial" w:cs="Arial"/>
                <w:sz w:val="20"/>
                <w:szCs w:val="20"/>
              </w:rPr>
            </w:pPr>
            <w:r>
              <w:rPr>
                <w:rFonts w:ascii="Arial" w:hAnsi="Arial" w:cs="Arial"/>
                <w:sz w:val="20"/>
                <w:szCs w:val="20"/>
              </w:rPr>
              <w:t>104.2</w:t>
            </w:r>
          </w:p>
        </w:tc>
        <w:tc>
          <w:tcPr>
            <w:tcW w:w="1160" w:type="dxa"/>
            <w:shd w:val="clear" w:color="auto" w:fill="auto"/>
          </w:tcPr>
          <w:p w14:paraId="3C5F7998" w14:textId="77777777" w:rsidR="00EA3540" w:rsidRPr="00DD162A" w:rsidRDefault="00EA3540" w:rsidP="00A90500">
            <w:pPr>
              <w:jc w:val="right"/>
              <w:rPr>
                <w:rFonts w:ascii="Arial" w:hAnsi="Arial" w:cs="Arial"/>
                <w:sz w:val="20"/>
                <w:szCs w:val="20"/>
              </w:rPr>
            </w:pPr>
            <w:r>
              <w:rPr>
                <w:rFonts w:ascii="Arial" w:hAnsi="Arial" w:cs="Arial"/>
                <w:sz w:val="20"/>
                <w:szCs w:val="20"/>
              </w:rPr>
              <w:t>13%</w:t>
            </w:r>
          </w:p>
        </w:tc>
        <w:tc>
          <w:tcPr>
            <w:tcW w:w="1901" w:type="dxa"/>
          </w:tcPr>
          <w:p w14:paraId="35C8972F" w14:textId="77777777" w:rsidR="00EA3540" w:rsidRDefault="00EA3540" w:rsidP="00A90500">
            <w:pPr>
              <w:jc w:val="right"/>
              <w:rPr>
                <w:rFonts w:ascii="Arial" w:hAnsi="Arial" w:cs="Arial"/>
                <w:sz w:val="20"/>
                <w:szCs w:val="20"/>
              </w:rPr>
            </w:pPr>
            <w:r>
              <w:rPr>
                <w:rFonts w:ascii="Arial" w:hAnsi="Arial" w:cs="Arial"/>
                <w:sz w:val="20"/>
                <w:szCs w:val="20"/>
              </w:rPr>
              <w:t>12%</w:t>
            </w:r>
          </w:p>
        </w:tc>
      </w:tr>
      <w:tr w:rsidR="00EA3540" w:rsidRPr="00DD162A" w14:paraId="7E1E3F7B" w14:textId="77777777" w:rsidTr="00A90500">
        <w:tc>
          <w:tcPr>
            <w:tcW w:w="2547" w:type="dxa"/>
            <w:shd w:val="clear" w:color="auto" w:fill="auto"/>
          </w:tcPr>
          <w:p w14:paraId="5D6CA602" w14:textId="77777777" w:rsidR="00EA3540" w:rsidRPr="00DD162A" w:rsidRDefault="00EA3540" w:rsidP="00A90500">
            <w:pPr>
              <w:jc w:val="both"/>
              <w:rPr>
                <w:rFonts w:ascii="Arial" w:hAnsi="Arial" w:cs="Arial"/>
                <w:sz w:val="20"/>
                <w:szCs w:val="20"/>
              </w:rPr>
            </w:pPr>
          </w:p>
        </w:tc>
        <w:tc>
          <w:tcPr>
            <w:tcW w:w="1701" w:type="dxa"/>
            <w:shd w:val="clear" w:color="auto" w:fill="auto"/>
          </w:tcPr>
          <w:p w14:paraId="2C2994F0" w14:textId="77777777" w:rsidR="00EA3540" w:rsidRPr="00DD162A" w:rsidRDefault="00EA3540" w:rsidP="00A90500">
            <w:pPr>
              <w:jc w:val="right"/>
              <w:rPr>
                <w:rFonts w:ascii="Arial" w:hAnsi="Arial" w:cs="Arial"/>
                <w:sz w:val="20"/>
                <w:szCs w:val="20"/>
              </w:rPr>
            </w:pPr>
          </w:p>
        </w:tc>
        <w:tc>
          <w:tcPr>
            <w:tcW w:w="1701" w:type="dxa"/>
            <w:shd w:val="clear" w:color="auto" w:fill="auto"/>
          </w:tcPr>
          <w:p w14:paraId="5243787A" w14:textId="77777777" w:rsidR="00EA3540" w:rsidRPr="00DD162A" w:rsidRDefault="00EA3540" w:rsidP="00A90500">
            <w:pPr>
              <w:jc w:val="right"/>
              <w:rPr>
                <w:rFonts w:ascii="Arial" w:hAnsi="Arial" w:cs="Arial"/>
                <w:sz w:val="20"/>
                <w:szCs w:val="20"/>
              </w:rPr>
            </w:pPr>
          </w:p>
        </w:tc>
        <w:tc>
          <w:tcPr>
            <w:tcW w:w="1160" w:type="dxa"/>
            <w:shd w:val="clear" w:color="auto" w:fill="auto"/>
          </w:tcPr>
          <w:p w14:paraId="0171D07E" w14:textId="77777777" w:rsidR="00EA3540" w:rsidRPr="00DD162A" w:rsidRDefault="00EA3540" w:rsidP="00A90500">
            <w:pPr>
              <w:jc w:val="right"/>
              <w:rPr>
                <w:rFonts w:ascii="Arial" w:hAnsi="Arial" w:cs="Arial"/>
                <w:sz w:val="20"/>
                <w:szCs w:val="20"/>
              </w:rPr>
            </w:pPr>
          </w:p>
        </w:tc>
        <w:tc>
          <w:tcPr>
            <w:tcW w:w="1901" w:type="dxa"/>
          </w:tcPr>
          <w:p w14:paraId="06582208" w14:textId="77777777" w:rsidR="00EA3540" w:rsidRPr="00DD162A" w:rsidRDefault="00EA3540" w:rsidP="00A90500">
            <w:pPr>
              <w:jc w:val="right"/>
              <w:rPr>
                <w:rFonts w:ascii="Arial" w:hAnsi="Arial" w:cs="Arial"/>
                <w:sz w:val="20"/>
                <w:szCs w:val="20"/>
              </w:rPr>
            </w:pPr>
          </w:p>
        </w:tc>
      </w:tr>
      <w:tr w:rsidR="00EA3540" w:rsidRPr="00DD162A" w14:paraId="3A71C101" w14:textId="77777777" w:rsidTr="00A90500">
        <w:tc>
          <w:tcPr>
            <w:tcW w:w="2547" w:type="dxa"/>
            <w:shd w:val="clear" w:color="auto" w:fill="auto"/>
          </w:tcPr>
          <w:p w14:paraId="69764E52" w14:textId="77777777" w:rsidR="00EA3540" w:rsidRPr="00DD162A" w:rsidRDefault="00EA3540" w:rsidP="00A90500">
            <w:pPr>
              <w:jc w:val="both"/>
              <w:rPr>
                <w:rFonts w:ascii="Arial" w:hAnsi="Arial" w:cs="Arial"/>
                <w:sz w:val="20"/>
                <w:szCs w:val="20"/>
              </w:rPr>
            </w:pPr>
            <w:r w:rsidRPr="00DD162A">
              <w:rPr>
                <w:rFonts w:ascii="Arial" w:hAnsi="Arial" w:cs="Arial"/>
                <w:sz w:val="20"/>
                <w:szCs w:val="20"/>
              </w:rPr>
              <w:t>Gross Profit</w:t>
            </w:r>
          </w:p>
        </w:tc>
        <w:tc>
          <w:tcPr>
            <w:tcW w:w="1701" w:type="dxa"/>
            <w:shd w:val="clear" w:color="auto" w:fill="auto"/>
          </w:tcPr>
          <w:p w14:paraId="7AA78B4F" w14:textId="77777777" w:rsidR="00EA3540" w:rsidRPr="00DD162A" w:rsidRDefault="00EA3540" w:rsidP="00A90500">
            <w:pPr>
              <w:jc w:val="right"/>
              <w:rPr>
                <w:rFonts w:ascii="Arial" w:hAnsi="Arial" w:cs="Arial"/>
                <w:sz w:val="20"/>
                <w:szCs w:val="20"/>
              </w:rPr>
            </w:pPr>
            <w:r>
              <w:rPr>
                <w:rFonts w:ascii="Arial" w:hAnsi="Arial" w:cs="Arial"/>
                <w:sz w:val="20"/>
                <w:szCs w:val="20"/>
              </w:rPr>
              <w:t>60.8</w:t>
            </w:r>
          </w:p>
        </w:tc>
        <w:tc>
          <w:tcPr>
            <w:tcW w:w="1701" w:type="dxa"/>
            <w:shd w:val="clear" w:color="auto" w:fill="auto"/>
          </w:tcPr>
          <w:p w14:paraId="089848A5" w14:textId="77777777" w:rsidR="00EA3540" w:rsidRPr="00DD162A" w:rsidRDefault="00EA3540" w:rsidP="00A90500">
            <w:pPr>
              <w:jc w:val="right"/>
              <w:rPr>
                <w:rFonts w:ascii="Arial" w:hAnsi="Arial" w:cs="Arial"/>
                <w:sz w:val="20"/>
                <w:szCs w:val="20"/>
              </w:rPr>
            </w:pPr>
            <w:r>
              <w:rPr>
                <w:rFonts w:ascii="Arial" w:hAnsi="Arial" w:cs="Arial"/>
                <w:sz w:val="20"/>
                <w:szCs w:val="20"/>
              </w:rPr>
              <w:t>55.5</w:t>
            </w:r>
          </w:p>
        </w:tc>
        <w:tc>
          <w:tcPr>
            <w:tcW w:w="1160" w:type="dxa"/>
            <w:shd w:val="clear" w:color="auto" w:fill="auto"/>
          </w:tcPr>
          <w:p w14:paraId="552787A1" w14:textId="77777777" w:rsidR="00EA3540" w:rsidRPr="00DD162A" w:rsidRDefault="00EA3540" w:rsidP="00A90500">
            <w:pPr>
              <w:jc w:val="right"/>
              <w:rPr>
                <w:rFonts w:ascii="Arial" w:hAnsi="Arial" w:cs="Arial"/>
                <w:sz w:val="20"/>
                <w:szCs w:val="20"/>
              </w:rPr>
            </w:pPr>
            <w:r>
              <w:rPr>
                <w:rFonts w:ascii="Arial" w:hAnsi="Arial" w:cs="Arial"/>
                <w:sz w:val="20"/>
                <w:szCs w:val="20"/>
              </w:rPr>
              <w:t>10%</w:t>
            </w:r>
          </w:p>
        </w:tc>
        <w:tc>
          <w:tcPr>
            <w:tcW w:w="1901" w:type="dxa"/>
          </w:tcPr>
          <w:p w14:paraId="688B1356" w14:textId="77777777" w:rsidR="00EA3540" w:rsidRDefault="00EA3540" w:rsidP="00A90500">
            <w:pPr>
              <w:jc w:val="right"/>
              <w:rPr>
                <w:rFonts w:ascii="Arial" w:hAnsi="Arial" w:cs="Arial"/>
                <w:sz w:val="20"/>
                <w:szCs w:val="20"/>
              </w:rPr>
            </w:pPr>
            <w:r>
              <w:rPr>
                <w:rFonts w:ascii="Arial" w:hAnsi="Arial" w:cs="Arial"/>
                <w:sz w:val="20"/>
                <w:szCs w:val="20"/>
              </w:rPr>
              <w:t>8%</w:t>
            </w:r>
          </w:p>
        </w:tc>
      </w:tr>
      <w:tr w:rsidR="00EA3540" w:rsidRPr="00DD162A" w14:paraId="4672B9CA" w14:textId="77777777" w:rsidTr="00A90500">
        <w:tc>
          <w:tcPr>
            <w:tcW w:w="2547" w:type="dxa"/>
            <w:shd w:val="clear" w:color="auto" w:fill="auto"/>
          </w:tcPr>
          <w:p w14:paraId="39061962" w14:textId="77777777" w:rsidR="00EA3540" w:rsidRPr="00DD162A" w:rsidRDefault="00EA3540" w:rsidP="00A90500">
            <w:pPr>
              <w:jc w:val="both"/>
              <w:rPr>
                <w:rFonts w:ascii="Arial" w:hAnsi="Arial" w:cs="Arial"/>
                <w:sz w:val="20"/>
                <w:szCs w:val="20"/>
              </w:rPr>
            </w:pPr>
            <w:r w:rsidRPr="00DD162A">
              <w:rPr>
                <w:rFonts w:ascii="Arial" w:hAnsi="Arial" w:cs="Arial"/>
                <w:sz w:val="20"/>
                <w:szCs w:val="20"/>
              </w:rPr>
              <w:t xml:space="preserve">Gross Profit </w:t>
            </w:r>
            <w:r>
              <w:rPr>
                <w:rFonts w:ascii="Arial" w:hAnsi="Arial" w:cs="Arial"/>
                <w:sz w:val="20"/>
                <w:szCs w:val="20"/>
              </w:rPr>
              <w:t>margin</w:t>
            </w:r>
          </w:p>
        </w:tc>
        <w:tc>
          <w:tcPr>
            <w:tcW w:w="1701" w:type="dxa"/>
            <w:shd w:val="clear" w:color="auto" w:fill="auto"/>
          </w:tcPr>
          <w:p w14:paraId="3A088C29" w14:textId="77777777" w:rsidR="00EA3540" w:rsidRPr="00DD162A" w:rsidRDefault="00EA3540" w:rsidP="00A90500">
            <w:pPr>
              <w:jc w:val="right"/>
              <w:rPr>
                <w:rFonts w:ascii="Arial" w:hAnsi="Arial" w:cs="Arial"/>
                <w:sz w:val="20"/>
                <w:szCs w:val="20"/>
              </w:rPr>
            </w:pPr>
            <w:r>
              <w:rPr>
                <w:rFonts w:ascii="Arial" w:hAnsi="Arial" w:cs="Arial"/>
                <w:sz w:val="20"/>
                <w:szCs w:val="20"/>
              </w:rPr>
              <w:t>51.9%</w:t>
            </w:r>
          </w:p>
        </w:tc>
        <w:tc>
          <w:tcPr>
            <w:tcW w:w="1701" w:type="dxa"/>
            <w:shd w:val="clear" w:color="auto" w:fill="auto"/>
          </w:tcPr>
          <w:p w14:paraId="74F5C646" w14:textId="77777777" w:rsidR="00EA3540" w:rsidRPr="00DD162A" w:rsidRDefault="00EA3540" w:rsidP="00A90500">
            <w:pPr>
              <w:jc w:val="right"/>
              <w:rPr>
                <w:rFonts w:ascii="Arial" w:hAnsi="Arial" w:cs="Arial"/>
                <w:sz w:val="20"/>
                <w:szCs w:val="20"/>
              </w:rPr>
            </w:pPr>
            <w:r>
              <w:rPr>
                <w:rFonts w:ascii="Arial" w:hAnsi="Arial" w:cs="Arial"/>
                <w:sz w:val="20"/>
                <w:szCs w:val="20"/>
              </w:rPr>
              <w:t>53.2%</w:t>
            </w:r>
          </w:p>
        </w:tc>
        <w:tc>
          <w:tcPr>
            <w:tcW w:w="1160" w:type="dxa"/>
            <w:shd w:val="clear" w:color="auto" w:fill="auto"/>
          </w:tcPr>
          <w:p w14:paraId="13C47347" w14:textId="77777777" w:rsidR="00EA3540" w:rsidRPr="00DD162A" w:rsidRDefault="00EA3540" w:rsidP="00A90500">
            <w:pPr>
              <w:jc w:val="right"/>
              <w:rPr>
                <w:rFonts w:ascii="Arial" w:hAnsi="Arial" w:cs="Arial"/>
                <w:sz w:val="20"/>
                <w:szCs w:val="20"/>
              </w:rPr>
            </w:pPr>
          </w:p>
        </w:tc>
        <w:tc>
          <w:tcPr>
            <w:tcW w:w="1901" w:type="dxa"/>
          </w:tcPr>
          <w:p w14:paraId="72872A68" w14:textId="77777777" w:rsidR="00EA3540" w:rsidRPr="00DD162A" w:rsidRDefault="00EA3540" w:rsidP="00A90500">
            <w:pPr>
              <w:jc w:val="right"/>
              <w:rPr>
                <w:rFonts w:ascii="Arial" w:hAnsi="Arial" w:cs="Arial"/>
                <w:sz w:val="20"/>
                <w:szCs w:val="20"/>
              </w:rPr>
            </w:pPr>
          </w:p>
        </w:tc>
      </w:tr>
      <w:tr w:rsidR="00EA3540" w:rsidRPr="00DD162A" w14:paraId="20C8619C" w14:textId="77777777" w:rsidTr="00A90500">
        <w:tc>
          <w:tcPr>
            <w:tcW w:w="2547" w:type="dxa"/>
            <w:shd w:val="clear" w:color="auto" w:fill="auto"/>
          </w:tcPr>
          <w:p w14:paraId="3A4E4456" w14:textId="77777777" w:rsidR="00EA3540" w:rsidRPr="00DD162A" w:rsidRDefault="00EA3540" w:rsidP="00A90500">
            <w:pPr>
              <w:jc w:val="both"/>
              <w:rPr>
                <w:rFonts w:ascii="Arial" w:hAnsi="Arial" w:cs="Arial"/>
                <w:sz w:val="20"/>
                <w:szCs w:val="20"/>
              </w:rPr>
            </w:pPr>
          </w:p>
        </w:tc>
        <w:tc>
          <w:tcPr>
            <w:tcW w:w="1701" w:type="dxa"/>
            <w:shd w:val="clear" w:color="auto" w:fill="auto"/>
          </w:tcPr>
          <w:p w14:paraId="67A07BCB" w14:textId="77777777" w:rsidR="00EA3540" w:rsidRPr="00DD162A" w:rsidRDefault="00EA3540" w:rsidP="00A90500">
            <w:pPr>
              <w:jc w:val="right"/>
              <w:rPr>
                <w:rFonts w:ascii="Arial" w:hAnsi="Arial" w:cs="Arial"/>
                <w:sz w:val="20"/>
                <w:szCs w:val="20"/>
              </w:rPr>
            </w:pPr>
          </w:p>
        </w:tc>
        <w:tc>
          <w:tcPr>
            <w:tcW w:w="1701" w:type="dxa"/>
            <w:shd w:val="clear" w:color="auto" w:fill="auto"/>
          </w:tcPr>
          <w:p w14:paraId="12BA11CF" w14:textId="77777777" w:rsidR="00EA3540" w:rsidRPr="00DD162A" w:rsidRDefault="00EA3540" w:rsidP="00A90500">
            <w:pPr>
              <w:jc w:val="right"/>
              <w:rPr>
                <w:rFonts w:ascii="Arial" w:hAnsi="Arial" w:cs="Arial"/>
                <w:sz w:val="20"/>
                <w:szCs w:val="20"/>
              </w:rPr>
            </w:pPr>
          </w:p>
        </w:tc>
        <w:tc>
          <w:tcPr>
            <w:tcW w:w="1160" w:type="dxa"/>
            <w:shd w:val="clear" w:color="auto" w:fill="auto"/>
          </w:tcPr>
          <w:p w14:paraId="0749FDBB" w14:textId="77777777" w:rsidR="00EA3540" w:rsidRPr="00DD162A" w:rsidRDefault="00EA3540" w:rsidP="00A90500">
            <w:pPr>
              <w:jc w:val="right"/>
              <w:rPr>
                <w:rFonts w:ascii="Arial" w:hAnsi="Arial" w:cs="Arial"/>
                <w:sz w:val="20"/>
                <w:szCs w:val="20"/>
              </w:rPr>
            </w:pPr>
          </w:p>
        </w:tc>
        <w:tc>
          <w:tcPr>
            <w:tcW w:w="1901" w:type="dxa"/>
          </w:tcPr>
          <w:p w14:paraId="3C97A602" w14:textId="77777777" w:rsidR="00EA3540" w:rsidRPr="00DD162A" w:rsidRDefault="00EA3540" w:rsidP="00A90500">
            <w:pPr>
              <w:jc w:val="right"/>
              <w:rPr>
                <w:rFonts w:ascii="Arial" w:hAnsi="Arial" w:cs="Arial"/>
                <w:sz w:val="20"/>
                <w:szCs w:val="20"/>
              </w:rPr>
            </w:pPr>
          </w:p>
        </w:tc>
      </w:tr>
      <w:tr w:rsidR="00EA3540" w:rsidRPr="00DD162A" w14:paraId="35EF5367" w14:textId="77777777" w:rsidTr="00A90500">
        <w:tc>
          <w:tcPr>
            <w:tcW w:w="2547" w:type="dxa"/>
            <w:shd w:val="clear" w:color="auto" w:fill="auto"/>
          </w:tcPr>
          <w:p w14:paraId="42557111" w14:textId="6B6753DA" w:rsidR="00EA3540" w:rsidRPr="00DD162A" w:rsidRDefault="00EA3540" w:rsidP="00A90500">
            <w:pPr>
              <w:jc w:val="both"/>
              <w:rPr>
                <w:rFonts w:ascii="Arial" w:hAnsi="Arial" w:cs="Arial"/>
                <w:sz w:val="20"/>
                <w:szCs w:val="20"/>
              </w:rPr>
            </w:pPr>
            <w:r w:rsidRPr="00DD162A">
              <w:rPr>
                <w:rFonts w:ascii="Arial" w:hAnsi="Arial" w:cs="Arial"/>
                <w:sz w:val="20"/>
                <w:szCs w:val="20"/>
              </w:rPr>
              <w:t>Adjusted EBITDA</w:t>
            </w:r>
          </w:p>
        </w:tc>
        <w:tc>
          <w:tcPr>
            <w:tcW w:w="1701" w:type="dxa"/>
            <w:shd w:val="clear" w:color="auto" w:fill="auto"/>
          </w:tcPr>
          <w:p w14:paraId="62DF7962" w14:textId="77777777" w:rsidR="00EA3540" w:rsidRPr="00DD162A" w:rsidRDefault="00EA3540" w:rsidP="00A90500">
            <w:pPr>
              <w:jc w:val="right"/>
              <w:rPr>
                <w:rFonts w:ascii="Arial" w:hAnsi="Arial" w:cs="Arial"/>
                <w:sz w:val="20"/>
                <w:szCs w:val="20"/>
              </w:rPr>
            </w:pPr>
            <w:r>
              <w:rPr>
                <w:rFonts w:ascii="Arial" w:hAnsi="Arial" w:cs="Arial"/>
                <w:sz w:val="20"/>
                <w:szCs w:val="20"/>
              </w:rPr>
              <w:t>36.7</w:t>
            </w:r>
          </w:p>
        </w:tc>
        <w:tc>
          <w:tcPr>
            <w:tcW w:w="1701" w:type="dxa"/>
            <w:shd w:val="clear" w:color="auto" w:fill="auto"/>
          </w:tcPr>
          <w:p w14:paraId="32408722" w14:textId="77777777" w:rsidR="00EA3540" w:rsidRPr="00DD162A" w:rsidRDefault="00EA3540" w:rsidP="00A90500">
            <w:pPr>
              <w:jc w:val="right"/>
              <w:rPr>
                <w:rFonts w:ascii="Arial" w:hAnsi="Arial" w:cs="Arial"/>
                <w:sz w:val="20"/>
                <w:szCs w:val="20"/>
              </w:rPr>
            </w:pPr>
            <w:r>
              <w:rPr>
                <w:rFonts w:ascii="Arial" w:hAnsi="Arial" w:cs="Arial"/>
                <w:sz w:val="20"/>
                <w:szCs w:val="20"/>
              </w:rPr>
              <w:t>34.0</w:t>
            </w:r>
          </w:p>
        </w:tc>
        <w:tc>
          <w:tcPr>
            <w:tcW w:w="1160" w:type="dxa"/>
            <w:shd w:val="clear" w:color="auto" w:fill="auto"/>
          </w:tcPr>
          <w:p w14:paraId="708CF7B8" w14:textId="77777777" w:rsidR="00EA3540" w:rsidRPr="00DD162A" w:rsidRDefault="00EA3540" w:rsidP="00A90500">
            <w:pPr>
              <w:jc w:val="right"/>
              <w:rPr>
                <w:rFonts w:ascii="Arial" w:hAnsi="Arial" w:cs="Arial"/>
                <w:sz w:val="20"/>
                <w:szCs w:val="20"/>
              </w:rPr>
            </w:pPr>
            <w:r>
              <w:rPr>
                <w:rFonts w:ascii="Arial" w:hAnsi="Arial" w:cs="Arial"/>
                <w:sz w:val="20"/>
                <w:szCs w:val="20"/>
              </w:rPr>
              <w:t>8%</w:t>
            </w:r>
          </w:p>
        </w:tc>
        <w:tc>
          <w:tcPr>
            <w:tcW w:w="1901" w:type="dxa"/>
          </w:tcPr>
          <w:p w14:paraId="6B083BE9" w14:textId="77777777" w:rsidR="00EA3540" w:rsidRDefault="00EA3540" w:rsidP="00A90500">
            <w:pPr>
              <w:jc w:val="right"/>
              <w:rPr>
                <w:rFonts w:ascii="Arial" w:hAnsi="Arial" w:cs="Arial"/>
                <w:sz w:val="20"/>
                <w:szCs w:val="20"/>
              </w:rPr>
            </w:pPr>
            <w:r>
              <w:rPr>
                <w:rFonts w:ascii="Arial" w:hAnsi="Arial" w:cs="Arial"/>
                <w:sz w:val="20"/>
                <w:szCs w:val="20"/>
              </w:rPr>
              <w:t>7%</w:t>
            </w:r>
          </w:p>
        </w:tc>
      </w:tr>
      <w:tr w:rsidR="00EA3540" w:rsidRPr="00DD162A" w14:paraId="7129FFE7" w14:textId="77777777" w:rsidTr="00A90500">
        <w:tc>
          <w:tcPr>
            <w:tcW w:w="2547" w:type="dxa"/>
            <w:tcBorders>
              <w:bottom w:val="single" w:sz="4" w:space="0" w:color="auto"/>
            </w:tcBorders>
            <w:shd w:val="clear" w:color="auto" w:fill="auto"/>
          </w:tcPr>
          <w:p w14:paraId="395F76B4" w14:textId="77777777" w:rsidR="00EA3540" w:rsidRDefault="00EA3540" w:rsidP="00A90500">
            <w:pPr>
              <w:rPr>
                <w:rFonts w:ascii="Arial" w:hAnsi="Arial" w:cs="Arial"/>
                <w:sz w:val="20"/>
                <w:szCs w:val="20"/>
              </w:rPr>
            </w:pPr>
            <w:r>
              <w:rPr>
                <w:rFonts w:ascii="Arial" w:hAnsi="Arial" w:cs="Arial"/>
                <w:sz w:val="20"/>
                <w:szCs w:val="20"/>
              </w:rPr>
              <w:t>Adjusted EBITDA margin</w:t>
            </w:r>
          </w:p>
          <w:p w14:paraId="1E599A87" w14:textId="77777777" w:rsidR="00EA3540" w:rsidRPr="00DD162A" w:rsidRDefault="00EA3540" w:rsidP="00A90500">
            <w:pPr>
              <w:jc w:val="both"/>
              <w:rPr>
                <w:rFonts w:ascii="Arial" w:hAnsi="Arial" w:cs="Arial"/>
                <w:sz w:val="20"/>
                <w:szCs w:val="20"/>
              </w:rPr>
            </w:pPr>
          </w:p>
        </w:tc>
        <w:tc>
          <w:tcPr>
            <w:tcW w:w="1701" w:type="dxa"/>
            <w:tcBorders>
              <w:bottom w:val="single" w:sz="4" w:space="0" w:color="auto"/>
            </w:tcBorders>
            <w:shd w:val="clear" w:color="auto" w:fill="auto"/>
          </w:tcPr>
          <w:p w14:paraId="6E89FD4A" w14:textId="77777777" w:rsidR="00EA3540" w:rsidRPr="00DD162A" w:rsidRDefault="00EA3540" w:rsidP="00A90500">
            <w:pPr>
              <w:jc w:val="right"/>
              <w:rPr>
                <w:rFonts w:ascii="Arial" w:hAnsi="Arial" w:cs="Arial"/>
                <w:sz w:val="20"/>
                <w:szCs w:val="20"/>
              </w:rPr>
            </w:pPr>
            <w:r>
              <w:rPr>
                <w:rFonts w:ascii="Arial" w:hAnsi="Arial" w:cs="Arial"/>
                <w:sz w:val="20"/>
                <w:szCs w:val="20"/>
              </w:rPr>
              <w:t>31.3%</w:t>
            </w:r>
          </w:p>
        </w:tc>
        <w:tc>
          <w:tcPr>
            <w:tcW w:w="1701" w:type="dxa"/>
            <w:tcBorders>
              <w:bottom w:val="single" w:sz="4" w:space="0" w:color="auto"/>
            </w:tcBorders>
            <w:shd w:val="clear" w:color="auto" w:fill="auto"/>
          </w:tcPr>
          <w:p w14:paraId="3EC6EE54" w14:textId="77777777" w:rsidR="00EA3540" w:rsidRPr="00DD162A" w:rsidRDefault="00EA3540" w:rsidP="00A90500">
            <w:pPr>
              <w:jc w:val="right"/>
              <w:rPr>
                <w:rFonts w:ascii="Arial" w:hAnsi="Arial" w:cs="Arial"/>
                <w:sz w:val="20"/>
                <w:szCs w:val="20"/>
              </w:rPr>
            </w:pPr>
            <w:r>
              <w:rPr>
                <w:rFonts w:ascii="Arial" w:hAnsi="Arial" w:cs="Arial"/>
                <w:sz w:val="20"/>
                <w:szCs w:val="20"/>
              </w:rPr>
              <w:t>32.6%</w:t>
            </w:r>
          </w:p>
        </w:tc>
        <w:tc>
          <w:tcPr>
            <w:tcW w:w="1160" w:type="dxa"/>
            <w:tcBorders>
              <w:bottom w:val="single" w:sz="4" w:space="0" w:color="auto"/>
            </w:tcBorders>
            <w:shd w:val="clear" w:color="auto" w:fill="auto"/>
          </w:tcPr>
          <w:p w14:paraId="70B1DC76" w14:textId="77777777" w:rsidR="00EA3540" w:rsidRPr="00DD162A" w:rsidRDefault="00EA3540" w:rsidP="00A90500">
            <w:pPr>
              <w:jc w:val="right"/>
              <w:rPr>
                <w:rFonts w:ascii="Arial" w:hAnsi="Arial" w:cs="Arial"/>
                <w:sz w:val="20"/>
                <w:szCs w:val="20"/>
              </w:rPr>
            </w:pPr>
          </w:p>
        </w:tc>
        <w:tc>
          <w:tcPr>
            <w:tcW w:w="1901" w:type="dxa"/>
            <w:tcBorders>
              <w:bottom w:val="single" w:sz="4" w:space="0" w:color="auto"/>
            </w:tcBorders>
          </w:tcPr>
          <w:p w14:paraId="726393CC" w14:textId="77777777" w:rsidR="00EA3540" w:rsidRPr="00DD162A" w:rsidRDefault="00EA3540" w:rsidP="00A90500">
            <w:pPr>
              <w:jc w:val="right"/>
              <w:rPr>
                <w:rFonts w:ascii="Arial" w:hAnsi="Arial" w:cs="Arial"/>
                <w:sz w:val="20"/>
                <w:szCs w:val="20"/>
              </w:rPr>
            </w:pPr>
          </w:p>
        </w:tc>
      </w:tr>
      <w:tr w:rsidR="00EA3540" w:rsidRPr="00DD162A" w14:paraId="3B82D934" w14:textId="77777777" w:rsidTr="00A90500">
        <w:tc>
          <w:tcPr>
            <w:tcW w:w="2547" w:type="dxa"/>
            <w:tcBorders>
              <w:top w:val="single" w:sz="4" w:space="0" w:color="auto"/>
            </w:tcBorders>
            <w:shd w:val="clear" w:color="auto" w:fill="auto"/>
          </w:tcPr>
          <w:p w14:paraId="734B386D" w14:textId="77777777" w:rsidR="00EA3540" w:rsidRPr="00DD162A" w:rsidRDefault="00EA3540" w:rsidP="00A90500">
            <w:pPr>
              <w:jc w:val="both"/>
              <w:rPr>
                <w:rFonts w:ascii="Arial" w:hAnsi="Arial" w:cs="Arial"/>
                <w:sz w:val="20"/>
                <w:szCs w:val="20"/>
              </w:rPr>
            </w:pPr>
          </w:p>
        </w:tc>
        <w:tc>
          <w:tcPr>
            <w:tcW w:w="1701" w:type="dxa"/>
            <w:tcBorders>
              <w:top w:val="single" w:sz="4" w:space="0" w:color="auto"/>
            </w:tcBorders>
            <w:shd w:val="clear" w:color="auto" w:fill="auto"/>
          </w:tcPr>
          <w:p w14:paraId="27C0A303" w14:textId="77777777" w:rsidR="00EA3540" w:rsidRPr="00DD162A" w:rsidRDefault="00EA3540" w:rsidP="00A90500">
            <w:pPr>
              <w:jc w:val="right"/>
              <w:rPr>
                <w:rFonts w:ascii="Arial" w:hAnsi="Arial" w:cs="Arial"/>
                <w:sz w:val="20"/>
                <w:szCs w:val="20"/>
              </w:rPr>
            </w:pPr>
          </w:p>
        </w:tc>
        <w:tc>
          <w:tcPr>
            <w:tcW w:w="1701" w:type="dxa"/>
            <w:tcBorders>
              <w:top w:val="single" w:sz="4" w:space="0" w:color="auto"/>
            </w:tcBorders>
            <w:shd w:val="clear" w:color="auto" w:fill="auto"/>
          </w:tcPr>
          <w:p w14:paraId="243A75D8" w14:textId="77777777" w:rsidR="00EA3540" w:rsidRPr="00DD162A" w:rsidRDefault="00EA3540" w:rsidP="00A90500">
            <w:pPr>
              <w:jc w:val="right"/>
              <w:rPr>
                <w:rFonts w:ascii="Arial" w:hAnsi="Arial" w:cs="Arial"/>
                <w:sz w:val="20"/>
                <w:szCs w:val="20"/>
              </w:rPr>
            </w:pPr>
          </w:p>
        </w:tc>
        <w:tc>
          <w:tcPr>
            <w:tcW w:w="1160" w:type="dxa"/>
            <w:tcBorders>
              <w:top w:val="single" w:sz="4" w:space="0" w:color="auto"/>
            </w:tcBorders>
            <w:shd w:val="clear" w:color="auto" w:fill="auto"/>
          </w:tcPr>
          <w:p w14:paraId="71C7AB71" w14:textId="77777777" w:rsidR="00EA3540" w:rsidRPr="00DD162A" w:rsidRDefault="00EA3540" w:rsidP="00A90500">
            <w:pPr>
              <w:jc w:val="right"/>
              <w:rPr>
                <w:rFonts w:ascii="Arial" w:hAnsi="Arial" w:cs="Arial"/>
                <w:sz w:val="20"/>
                <w:szCs w:val="20"/>
              </w:rPr>
            </w:pPr>
          </w:p>
        </w:tc>
        <w:tc>
          <w:tcPr>
            <w:tcW w:w="1901" w:type="dxa"/>
            <w:tcBorders>
              <w:top w:val="single" w:sz="4" w:space="0" w:color="auto"/>
            </w:tcBorders>
          </w:tcPr>
          <w:p w14:paraId="1409154D" w14:textId="77777777" w:rsidR="00EA3540" w:rsidRPr="00DD162A" w:rsidRDefault="00EA3540" w:rsidP="00A90500">
            <w:pPr>
              <w:jc w:val="right"/>
              <w:rPr>
                <w:rFonts w:ascii="Arial" w:hAnsi="Arial" w:cs="Arial"/>
                <w:sz w:val="20"/>
                <w:szCs w:val="20"/>
              </w:rPr>
            </w:pPr>
          </w:p>
        </w:tc>
      </w:tr>
      <w:tr w:rsidR="00EA3540" w:rsidRPr="00DD162A" w14:paraId="5E6AA6AA" w14:textId="77777777" w:rsidTr="00A90500">
        <w:tc>
          <w:tcPr>
            <w:tcW w:w="2547" w:type="dxa"/>
            <w:shd w:val="clear" w:color="auto" w:fill="auto"/>
          </w:tcPr>
          <w:p w14:paraId="25D37C81" w14:textId="77777777" w:rsidR="00EA3540" w:rsidRPr="00DD162A" w:rsidRDefault="00EA3540" w:rsidP="00A90500">
            <w:pPr>
              <w:jc w:val="both"/>
              <w:rPr>
                <w:rFonts w:ascii="Arial" w:hAnsi="Arial" w:cs="Arial"/>
                <w:sz w:val="20"/>
                <w:szCs w:val="20"/>
              </w:rPr>
            </w:pPr>
            <w:r>
              <w:rPr>
                <w:rFonts w:ascii="Arial" w:hAnsi="Arial" w:cs="Arial"/>
                <w:sz w:val="20"/>
                <w:szCs w:val="20"/>
              </w:rPr>
              <w:t>Diluted EPS</w:t>
            </w:r>
          </w:p>
        </w:tc>
        <w:tc>
          <w:tcPr>
            <w:tcW w:w="1701" w:type="dxa"/>
            <w:shd w:val="clear" w:color="auto" w:fill="auto"/>
          </w:tcPr>
          <w:p w14:paraId="3D5C27D2" w14:textId="77777777" w:rsidR="00EA3540" w:rsidRPr="004C0A15" w:rsidRDefault="00EA3540" w:rsidP="00A90500">
            <w:pPr>
              <w:jc w:val="right"/>
              <w:rPr>
                <w:rFonts w:ascii="Arial" w:hAnsi="Arial" w:cs="Arial"/>
                <w:sz w:val="20"/>
                <w:szCs w:val="20"/>
              </w:rPr>
            </w:pPr>
            <w:r w:rsidRPr="004C0A15">
              <w:rPr>
                <w:rFonts w:ascii="Arial" w:hAnsi="Arial" w:cs="Arial"/>
                <w:sz w:val="20"/>
                <w:szCs w:val="20"/>
              </w:rPr>
              <w:t>24.30p</w:t>
            </w:r>
          </w:p>
        </w:tc>
        <w:tc>
          <w:tcPr>
            <w:tcW w:w="1701" w:type="dxa"/>
            <w:shd w:val="clear" w:color="auto" w:fill="auto"/>
          </w:tcPr>
          <w:p w14:paraId="13707DA8" w14:textId="77777777" w:rsidR="00EA3540" w:rsidRPr="00ED4437" w:rsidRDefault="00EA3540" w:rsidP="00A90500">
            <w:pPr>
              <w:jc w:val="right"/>
              <w:rPr>
                <w:rFonts w:ascii="Arial" w:hAnsi="Arial" w:cs="Arial"/>
                <w:sz w:val="20"/>
                <w:szCs w:val="20"/>
              </w:rPr>
            </w:pPr>
            <w:r>
              <w:rPr>
                <w:rFonts w:ascii="Arial" w:hAnsi="Arial" w:cs="Arial"/>
                <w:sz w:val="20"/>
                <w:szCs w:val="20"/>
              </w:rPr>
              <w:t>22.72p</w:t>
            </w:r>
          </w:p>
        </w:tc>
        <w:tc>
          <w:tcPr>
            <w:tcW w:w="1160" w:type="dxa"/>
            <w:shd w:val="clear" w:color="auto" w:fill="auto"/>
          </w:tcPr>
          <w:p w14:paraId="5D914BC1" w14:textId="09169690" w:rsidR="00EA3540" w:rsidRPr="00ED4437" w:rsidRDefault="00591E25" w:rsidP="00A90500">
            <w:pPr>
              <w:jc w:val="right"/>
              <w:rPr>
                <w:rFonts w:ascii="Arial" w:hAnsi="Arial" w:cs="Arial"/>
                <w:sz w:val="20"/>
                <w:szCs w:val="20"/>
              </w:rPr>
            </w:pPr>
            <w:r>
              <w:rPr>
                <w:rFonts w:ascii="Arial" w:hAnsi="Arial" w:cs="Arial"/>
                <w:sz w:val="20"/>
                <w:szCs w:val="20"/>
              </w:rPr>
              <w:t>7%</w:t>
            </w:r>
          </w:p>
        </w:tc>
        <w:tc>
          <w:tcPr>
            <w:tcW w:w="1901" w:type="dxa"/>
          </w:tcPr>
          <w:p w14:paraId="2A140E05" w14:textId="77777777" w:rsidR="00EA3540" w:rsidRDefault="00EA3540" w:rsidP="00A90500">
            <w:pPr>
              <w:jc w:val="right"/>
              <w:rPr>
                <w:rFonts w:ascii="Arial" w:hAnsi="Arial" w:cs="Arial"/>
                <w:sz w:val="20"/>
                <w:szCs w:val="20"/>
              </w:rPr>
            </w:pPr>
          </w:p>
        </w:tc>
      </w:tr>
      <w:tr w:rsidR="00EA3540" w:rsidRPr="00DD162A" w14:paraId="03849D1F" w14:textId="77777777" w:rsidTr="00A90500">
        <w:tc>
          <w:tcPr>
            <w:tcW w:w="2547" w:type="dxa"/>
            <w:shd w:val="clear" w:color="auto" w:fill="auto"/>
          </w:tcPr>
          <w:p w14:paraId="3C88A139" w14:textId="77777777" w:rsidR="00EA3540" w:rsidRPr="00DD162A" w:rsidRDefault="00EA3540" w:rsidP="00A90500">
            <w:pPr>
              <w:jc w:val="both"/>
              <w:rPr>
                <w:rFonts w:ascii="Arial" w:hAnsi="Arial" w:cs="Arial"/>
                <w:sz w:val="20"/>
                <w:szCs w:val="20"/>
              </w:rPr>
            </w:pPr>
            <w:r w:rsidRPr="00DD162A">
              <w:rPr>
                <w:rFonts w:ascii="Arial" w:hAnsi="Arial" w:cs="Arial"/>
                <w:sz w:val="20"/>
                <w:szCs w:val="20"/>
              </w:rPr>
              <w:t>Interim Dividend</w:t>
            </w:r>
          </w:p>
        </w:tc>
        <w:tc>
          <w:tcPr>
            <w:tcW w:w="1701" w:type="dxa"/>
            <w:shd w:val="clear" w:color="auto" w:fill="auto"/>
          </w:tcPr>
          <w:p w14:paraId="609DDCE6" w14:textId="6F2A065C" w:rsidR="00EA3540" w:rsidRPr="004C0A15" w:rsidRDefault="00EA3540" w:rsidP="00A90500">
            <w:pPr>
              <w:jc w:val="right"/>
              <w:rPr>
                <w:rFonts w:ascii="Arial" w:hAnsi="Arial" w:cs="Arial"/>
                <w:sz w:val="20"/>
                <w:szCs w:val="20"/>
              </w:rPr>
            </w:pPr>
            <w:r w:rsidRPr="004C0A15">
              <w:rPr>
                <w:rFonts w:ascii="Arial" w:hAnsi="Arial" w:cs="Arial"/>
                <w:sz w:val="20"/>
                <w:szCs w:val="20"/>
              </w:rPr>
              <w:t>5.2</w:t>
            </w:r>
            <w:r w:rsidR="00152E51">
              <w:rPr>
                <w:rFonts w:ascii="Arial" w:hAnsi="Arial" w:cs="Arial"/>
                <w:sz w:val="20"/>
                <w:szCs w:val="20"/>
              </w:rPr>
              <w:t>0</w:t>
            </w:r>
            <w:r w:rsidRPr="004C0A15">
              <w:rPr>
                <w:rFonts w:ascii="Arial" w:hAnsi="Arial" w:cs="Arial"/>
                <w:sz w:val="20"/>
                <w:szCs w:val="20"/>
              </w:rPr>
              <w:t>p</w:t>
            </w:r>
          </w:p>
        </w:tc>
        <w:tc>
          <w:tcPr>
            <w:tcW w:w="1701" w:type="dxa"/>
            <w:shd w:val="clear" w:color="auto" w:fill="auto"/>
          </w:tcPr>
          <w:p w14:paraId="2330518D" w14:textId="77777777" w:rsidR="00EA3540" w:rsidRPr="00D77A4B" w:rsidRDefault="00EA3540" w:rsidP="00A90500">
            <w:pPr>
              <w:jc w:val="right"/>
              <w:rPr>
                <w:rFonts w:ascii="Arial" w:hAnsi="Arial" w:cs="Arial"/>
                <w:sz w:val="20"/>
                <w:szCs w:val="20"/>
              </w:rPr>
            </w:pPr>
            <w:r w:rsidRPr="00AE4F5E">
              <w:rPr>
                <w:rFonts w:ascii="Arial" w:hAnsi="Arial" w:cs="Arial"/>
                <w:sz w:val="20"/>
                <w:szCs w:val="20"/>
              </w:rPr>
              <w:t>4.22p</w:t>
            </w:r>
          </w:p>
        </w:tc>
        <w:tc>
          <w:tcPr>
            <w:tcW w:w="1160" w:type="dxa"/>
            <w:shd w:val="clear" w:color="auto" w:fill="auto"/>
          </w:tcPr>
          <w:p w14:paraId="0FB55A94" w14:textId="4D3EAF90" w:rsidR="00EA3540" w:rsidRPr="00D77A4B" w:rsidRDefault="00591E25" w:rsidP="00A90500">
            <w:pPr>
              <w:jc w:val="right"/>
              <w:rPr>
                <w:rFonts w:ascii="Arial" w:hAnsi="Arial" w:cs="Arial"/>
                <w:sz w:val="20"/>
                <w:szCs w:val="20"/>
              </w:rPr>
            </w:pPr>
            <w:r>
              <w:rPr>
                <w:rFonts w:ascii="Arial" w:hAnsi="Arial" w:cs="Arial"/>
                <w:sz w:val="20"/>
                <w:szCs w:val="20"/>
              </w:rPr>
              <w:t>2</w:t>
            </w:r>
            <w:r w:rsidR="00CF1CA0">
              <w:rPr>
                <w:rFonts w:ascii="Arial" w:hAnsi="Arial" w:cs="Arial"/>
                <w:sz w:val="20"/>
                <w:szCs w:val="20"/>
              </w:rPr>
              <w:t>3</w:t>
            </w:r>
            <w:r>
              <w:rPr>
                <w:rFonts w:ascii="Arial" w:hAnsi="Arial" w:cs="Arial"/>
                <w:sz w:val="20"/>
                <w:szCs w:val="20"/>
              </w:rPr>
              <w:t>%</w:t>
            </w:r>
          </w:p>
        </w:tc>
        <w:tc>
          <w:tcPr>
            <w:tcW w:w="1901" w:type="dxa"/>
          </w:tcPr>
          <w:p w14:paraId="3B6096C3" w14:textId="77777777" w:rsidR="00EA3540" w:rsidRDefault="00EA3540" w:rsidP="00A90500">
            <w:pPr>
              <w:jc w:val="right"/>
              <w:rPr>
                <w:rFonts w:ascii="Arial" w:hAnsi="Arial" w:cs="Arial"/>
                <w:sz w:val="20"/>
                <w:szCs w:val="20"/>
                <w:highlight w:val="yellow"/>
              </w:rPr>
            </w:pPr>
          </w:p>
        </w:tc>
      </w:tr>
      <w:tr w:rsidR="00EA3540" w:rsidRPr="00DD162A" w14:paraId="5B2D22E0" w14:textId="77777777" w:rsidTr="00A90500">
        <w:tc>
          <w:tcPr>
            <w:tcW w:w="2547" w:type="dxa"/>
            <w:shd w:val="clear" w:color="auto" w:fill="auto"/>
          </w:tcPr>
          <w:p w14:paraId="118C5F6B" w14:textId="77777777" w:rsidR="00EA3540" w:rsidRPr="00DD162A" w:rsidRDefault="00EA3540" w:rsidP="00A90500">
            <w:pPr>
              <w:jc w:val="both"/>
              <w:rPr>
                <w:rFonts w:ascii="Arial" w:hAnsi="Arial" w:cs="Arial"/>
                <w:sz w:val="20"/>
                <w:szCs w:val="20"/>
              </w:rPr>
            </w:pPr>
          </w:p>
        </w:tc>
        <w:tc>
          <w:tcPr>
            <w:tcW w:w="1701" w:type="dxa"/>
            <w:shd w:val="clear" w:color="auto" w:fill="auto"/>
          </w:tcPr>
          <w:p w14:paraId="51354557" w14:textId="77777777" w:rsidR="00EA3540" w:rsidRPr="00DD162A" w:rsidRDefault="00EA3540" w:rsidP="00A90500">
            <w:pPr>
              <w:jc w:val="center"/>
              <w:rPr>
                <w:rFonts w:ascii="Arial" w:hAnsi="Arial" w:cs="Arial"/>
                <w:sz w:val="20"/>
                <w:szCs w:val="20"/>
              </w:rPr>
            </w:pPr>
          </w:p>
        </w:tc>
        <w:tc>
          <w:tcPr>
            <w:tcW w:w="1701" w:type="dxa"/>
            <w:shd w:val="clear" w:color="auto" w:fill="auto"/>
          </w:tcPr>
          <w:p w14:paraId="03B200A9" w14:textId="77777777" w:rsidR="00EA3540" w:rsidRPr="00DD162A" w:rsidRDefault="00EA3540" w:rsidP="00A90500">
            <w:pPr>
              <w:jc w:val="center"/>
              <w:rPr>
                <w:rFonts w:ascii="Arial" w:hAnsi="Arial" w:cs="Arial"/>
                <w:sz w:val="20"/>
                <w:szCs w:val="20"/>
              </w:rPr>
            </w:pPr>
          </w:p>
        </w:tc>
        <w:tc>
          <w:tcPr>
            <w:tcW w:w="1160" w:type="dxa"/>
            <w:shd w:val="clear" w:color="auto" w:fill="auto"/>
          </w:tcPr>
          <w:p w14:paraId="5ED01601" w14:textId="77777777" w:rsidR="00EA3540" w:rsidRPr="00DD162A" w:rsidRDefault="00EA3540" w:rsidP="00A90500">
            <w:pPr>
              <w:jc w:val="center"/>
              <w:rPr>
                <w:rFonts w:ascii="Arial" w:hAnsi="Arial" w:cs="Arial"/>
                <w:sz w:val="20"/>
                <w:szCs w:val="20"/>
              </w:rPr>
            </w:pPr>
          </w:p>
        </w:tc>
        <w:tc>
          <w:tcPr>
            <w:tcW w:w="1901" w:type="dxa"/>
          </w:tcPr>
          <w:p w14:paraId="6FE9108F" w14:textId="77777777" w:rsidR="00EA3540" w:rsidRPr="00DD162A" w:rsidRDefault="00EA3540" w:rsidP="00A90500">
            <w:pPr>
              <w:jc w:val="center"/>
              <w:rPr>
                <w:rFonts w:ascii="Arial" w:hAnsi="Arial" w:cs="Arial"/>
                <w:sz w:val="20"/>
                <w:szCs w:val="20"/>
              </w:rPr>
            </w:pPr>
          </w:p>
        </w:tc>
      </w:tr>
    </w:tbl>
    <w:p w14:paraId="6D9FDEFD" w14:textId="77777777" w:rsidR="00EA3540" w:rsidRPr="00DD162A" w:rsidRDefault="00EA3540" w:rsidP="00EA3540">
      <w:pPr>
        <w:jc w:val="both"/>
        <w:rPr>
          <w:rFonts w:ascii="Arial" w:hAnsi="Arial" w:cs="Arial"/>
          <w:sz w:val="20"/>
          <w:szCs w:val="20"/>
        </w:rPr>
      </w:pPr>
    </w:p>
    <w:p w14:paraId="293A742A" w14:textId="77777777" w:rsidR="00EA3540" w:rsidRPr="00DD162A" w:rsidRDefault="00EA3540" w:rsidP="00EA3540">
      <w:pPr>
        <w:jc w:val="both"/>
        <w:rPr>
          <w:rFonts w:ascii="Arial" w:hAnsi="Arial" w:cs="Arial"/>
          <w:sz w:val="20"/>
          <w:szCs w:val="20"/>
        </w:rPr>
      </w:pPr>
    </w:p>
    <w:p w14:paraId="42874A98" w14:textId="77777777" w:rsidR="00EA3540" w:rsidRPr="00DD162A" w:rsidRDefault="00EA3540" w:rsidP="00EA3540">
      <w:pPr>
        <w:rPr>
          <w:rFonts w:ascii="Arial" w:hAnsi="Arial" w:cs="Arial"/>
          <w:b/>
          <w:sz w:val="20"/>
          <w:szCs w:val="20"/>
        </w:rPr>
      </w:pPr>
      <w:r w:rsidRPr="00DD162A">
        <w:rPr>
          <w:rFonts w:ascii="Arial" w:hAnsi="Arial" w:cs="Arial"/>
          <w:b/>
          <w:sz w:val="20"/>
          <w:szCs w:val="20"/>
        </w:rPr>
        <w:t>Territory review</w:t>
      </w:r>
    </w:p>
    <w:p w14:paraId="5B45932A" w14:textId="77777777" w:rsidR="00EA3540" w:rsidRPr="00DD162A" w:rsidRDefault="00EA3540" w:rsidP="00EA3540">
      <w:pPr>
        <w:rPr>
          <w:rFonts w:ascii="Arial" w:hAnsi="Arial" w:cs="Arial"/>
          <w:b/>
          <w:sz w:val="20"/>
          <w:szCs w:val="20"/>
        </w:rPr>
      </w:pPr>
      <w:r w:rsidRPr="00DD162A">
        <w:rPr>
          <w:rFonts w:ascii="Arial" w:hAnsi="Arial" w:cs="Arial"/>
          <w:b/>
          <w:sz w:val="20"/>
          <w:szCs w:val="20"/>
        </w:rPr>
        <w:t>Revenue by territory</w:t>
      </w:r>
    </w:p>
    <w:tbl>
      <w:tblPr>
        <w:tblW w:w="8931"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28"/>
        <w:gridCol w:w="1683"/>
        <w:gridCol w:w="1701"/>
        <w:gridCol w:w="1418"/>
        <w:gridCol w:w="1701"/>
      </w:tblGrid>
      <w:tr w:rsidR="00EA3540" w:rsidRPr="00DD162A" w14:paraId="7B0C1213" w14:textId="77777777" w:rsidTr="00A90500">
        <w:tc>
          <w:tcPr>
            <w:tcW w:w="2428" w:type="dxa"/>
            <w:tcBorders>
              <w:top w:val="single" w:sz="4" w:space="0" w:color="auto"/>
              <w:bottom w:val="nil"/>
            </w:tcBorders>
            <w:shd w:val="clear" w:color="auto" w:fill="auto"/>
          </w:tcPr>
          <w:p w14:paraId="172BAC52" w14:textId="77777777" w:rsidR="00EA3540" w:rsidRPr="00DD162A" w:rsidRDefault="00EA3540" w:rsidP="00A90500">
            <w:pPr>
              <w:rPr>
                <w:rFonts w:ascii="Arial" w:hAnsi="Arial" w:cs="Arial"/>
                <w:b/>
                <w:sz w:val="20"/>
                <w:szCs w:val="20"/>
              </w:rPr>
            </w:pPr>
          </w:p>
        </w:tc>
        <w:tc>
          <w:tcPr>
            <w:tcW w:w="1683" w:type="dxa"/>
            <w:tcBorders>
              <w:top w:val="single" w:sz="4" w:space="0" w:color="auto"/>
              <w:bottom w:val="nil"/>
            </w:tcBorders>
            <w:shd w:val="clear" w:color="auto" w:fill="auto"/>
          </w:tcPr>
          <w:p w14:paraId="017E7526" w14:textId="77777777" w:rsidR="00EA3540" w:rsidRPr="00ED3000" w:rsidRDefault="00EA3540" w:rsidP="00A90500">
            <w:pPr>
              <w:jc w:val="right"/>
              <w:rPr>
                <w:rFonts w:ascii="Arial" w:hAnsi="Arial" w:cs="Arial"/>
                <w:sz w:val="20"/>
                <w:szCs w:val="20"/>
              </w:rPr>
            </w:pPr>
            <w:r w:rsidRPr="00ED3000">
              <w:rPr>
                <w:rFonts w:ascii="Arial" w:hAnsi="Arial" w:cs="Arial"/>
                <w:sz w:val="20"/>
                <w:szCs w:val="20"/>
              </w:rPr>
              <w:t>Half year ended 30 June 2019</w:t>
            </w:r>
          </w:p>
        </w:tc>
        <w:tc>
          <w:tcPr>
            <w:tcW w:w="1701" w:type="dxa"/>
            <w:tcBorders>
              <w:top w:val="single" w:sz="4" w:space="0" w:color="auto"/>
              <w:bottom w:val="nil"/>
            </w:tcBorders>
            <w:shd w:val="clear" w:color="auto" w:fill="auto"/>
          </w:tcPr>
          <w:p w14:paraId="6B60DE7C" w14:textId="77777777" w:rsidR="00EA3540" w:rsidRPr="00DD162A" w:rsidRDefault="00EA3540" w:rsidP="00A90500">
            <w:pPr>
              <w:jc w:val="right"/>
              <w:rPr>
                <w:rFonts w:ascii="Arial" w:hAnsi="Arial" w:cs="Arial"/>
                <w:sz w:val="20"/>
                <w:szCs w:val="20"/>
              </w:rPr>
            </w:pPr>
            <w:r w:rsidRPr="00DD162A">
              <w:rPr>
                <w:rFonts w:ascii="Arial" w:hAnsi="Arial" w:cs="Arial"/>
                <w:sz w:val="20"/>
                <w:szCs w:val="20"/>
              </w:rPr>
              <w:t>Half year ended 30 June 201</w:t>
            </w:r>
            <w:r>
              <w:rPr>
                <w:rFonts w:ascii="Arial" w:hAnsi="Arial" w:cs="Arial"/>
                <w:sz w:val="20"/>
                <w:szCs w:val="20"/>
              </w:rPr>
              <w:t>8</w:t>
            </w:r>
          </w:p>
        </w:tc>
        <w:tc>
          <w:tcPr>
            <w:tcW w:w="1418" w:type="dxa"/>
            <w:tcBorders>
              <w:top w:val="single" w:sz="4" w:space="0" w:color="auto"/>
              <w:bottom w:val="nil"/>
            </w:tcBorders>
            <w:shd w:val="clear" w:color="auto" w:fill="auto"/>
            <w:vAlign w:val="bottom"/>
          </w:tcPr>
          <w:p w14:paraId="7E443747" w14:textId="77777777" w:rsidR="00EA3540" w:rsidRPr="00DD162A" w:rsidRDefault="00EA3540" w:rsidP="00A90500">
            <w:pPr>
              <w:jc w:val="right"/>
              <w:rPr>
                <w:rFonts w:ascii="Arial" w:hAnsi="Arial" w:cs="Arial"/>
                <w:sz w:val="20"/>
                <w:szCs w:val="20"/>
              </w:rPr>
            </w:pPr>
            <w:r>
              <w:rPr>
                <w:rFonts w:ascii="Arial" w:hAnsi="Arial" w:cs="Arial"/>
                <w:sz w:val="20"/>
                <w:szCs w:val="20"/>
              </w:rPr>
              <w:t xml:space="preserve">Reported </w:t>
            </w:r>
            <w:r w:rsidRPr="00DD162A">
              <w:rPr>
                <w:rFonts w:ascii="Arial" w:hAnsi="Arial" w:cs="Arial"/>
                <w:sz w:val="20"/>
                <w:szCs w:val="20"/>
              </w:rPr>
              <w:t>Movement</w:t>
            </w:r>
          </w:p>
        </w:tc>
        <w:tc>
          <w:tcPr>
            <w:tcW w:w="1701" w:type="dxa"/>
            <w:tcBorders>
              <w:top w:val="single" w:sz="4" w:space="0" w:color="auto"/>
              <w:bottom w:val="nil"/>
            </w:tcBorders>
            <w:shd w:val="clear" w:color="auto" w:fill="auto"/>
            <w:vAlign w:val="bottom"/>
          </w:tcPr>
          <w:p w14:paraId="1A098A51" w14:textId="335F5715" w:rsidR="00EA3540" w:rsidRPr="00DD162A" w:rsidRDefault="00EA3540" w:rsidP="00A90500">
            <w:pPr>
              <w:jc w:val="right"/>
              <w:rPr>
                <w:rFonts w:ascii="Arial" w:hAnsi="Arial" w:cs="Arial"/>
                <w:sz w:val="20"/>
                <w:szCs w:val="20"/>
              </w:rPr>
            </w:pPr>
            <w:r w:rsidRPr="00DD162A">
              <w:rPr>
                <w:rFonts w:ascii="Arial" w:hAnsi="Arial" w:cs="Arial"/>
                <w:sz w:val="20"/>
                <w:szCs w:val="20"/>
              </w:rPr>
              <w:t>Share of</w:t>
            </w:r>
            <w:r w:rsidR="00FE6BB6">
              <w:rPr>
                <w:rFonts w:ascii="Arial" w:hAnsi="Arial" w:cs="Arial"/>
                <w:sz w:val="20"/>
                <w:szCs w:val="20"/>
              </w:rPr>
              <w:t xml:space="preserve"> Group</w:t>
            </w:r>
            <w:r w:rsidRPr="00DD162A">
              <w:rPr>
                <w:rFonts w:ascii="Arial" w:hAnsi="Arial" w:cs="Arial"/>
                <w:sz w:val="20"/>
                <w:szCs w:val="20"/>
              </w:rPr>
              <w:t xml:space="preserve"> revenue</w:t>
            </w:r>
          </w:p>
        </w:tc>
      </w:tr>
      <w:tr w:rsidR="00EA3540" w:rsidRPr="00DD162A" w14:paraId="66BAE970" w14:textId="77777777" w:rsidTr="00A90500">
        <w:trPr>
          <w:trHeight w:val="283"/>
        </w:trPr>
        <w:tc>
          <w:tcPr>
            <w:tcW w:w="2428" w:type="dxa"/>
            <w:tcBorders>
              <w:top w:val="nil"/>
              <w:bottom w:val="single" w:sz="4" w:space="0" w:color="auto"/>
            </w:tcBorders>
            <w:shd w:val="clear" w:color="auto" w:fill="auto"/>
          </w:tcPr>
          <w:p w14:paraId="191E5C24" w14:textId="77777777" w:rsidR="00EA3540" w:rsidRPr="00DD162A" w:rsidRDefault="00EA3540" w:rsidP="00A90500">
            <w:pPr>
              <w:jc w:val="both"/>
              <w:rPr>
                <w:rFonts w:ascii="Arial" w:hAnsi="Arial" w:cs="Arial"/>
                <w:sz w:val="20"/>
                <w:szCs w:val="20"/>
              </w:rPr>
            </w:pPr>
          </w:p>
        </w:tc>
        <w:tc>
          <w:tcPr>
            <w:tcW w:w="1683" w:type="dxa"/>
            <w:tcBorders>
              <w:top w:val="nil"/>
              <w:bottom w:val="single" w:sz="4" w:space="0" w:color="auto"/>
            </w:tcBorders>
            <w:shd w:val="clear" w:color="auto" w:fill="auto"/>
          </w:tcPr>
          <w:p w14:paraId="3CC180A8" w14:textId="77777777" w:rsidR="00EA3540" w:rsidRPr="00ED3000" w:rsidRDefault="00EA3540" w:rsidP="00A90500">
            <w:pPr>
              <w:jc w:val="right"/>
              <w:rPr>
                <w:rFonts w:ascii="Arial" w:hAnsi="Arial" w:cs="Arial"/>
                <w:sz w:val="20"/>
                <w:szCs w:val="20"/>
              </w:rPr>
            </w:pPr>
            <w:r w:rsidRPr="00ED3000">
              <w:rPr>
                <w:rFonts w:ascii="Arial" w:hAnsi="Arial" w:cs="Arial"/>
                <w:sz w:val="20"/>
                <w:szCs w:val="20"/>
              </w:rPr>
              <w:t>£m</w:t>
            </w:r>
          </w:p>
        </w:tc>
        <w:tc>
          <w:tcPr>
            <w:tcW w:w="1701" w:type="dxa"/>
            <w:tcBorders>
              <w:top w:val="nil"/>
              <w:bottom w:val="single" w:sz="4" w:space="0" w:color="auto"/>
            </w:tcBorders>
            <w:shd w:val="clear" w:color="auto" w:fill="auto"/>
          </w:tcPr>
          <w:p w14:paraId="667193FB" w14:textId="77777777" w:rsidR="00EA3540" w:rsidRPr="00DD162A" w:rsidRDefault="00EA3540" w:rsidP="00A90500">
            <w:pPr>
              <w:jc w:val="right"/>
              <w:rPr>
                <w:rFonts w:ascii="Arial" w:hAnsi="Arial" w:cs="Arial"/>
                <w:sz w:val="20"/>
                <w:szCs w:val="20"/>
              </w:rPr>
            </w:pPr>
            <w:r w:rsidRPr="00DD162A">
              <w:rPr>
                <w:rFonts w:ascii="Arial" w:hAnsi="Arial" w:cs="Arial"/>
                <w:sz w:val="20"/>
                <w:szCs w:val="20"/>
              </w:rPr>
              <w:t>£m</w:t>
            </w:r>
          </w:p>
        </w:tc>
        <w:tc>
          <w:tcPr>
            <w:tcW w:w="1418" w:type="dxa"/>
            <w:tcBorders>
              <w:top w:val="nil"/>
              <w:bottom w:val="single" w:sz="4" w:space="0" w:color="auto"/>
            </w:tcBorders>
            <w:shd w:val="clear" w:color="auto" w:fill="auto"/>
          </w:tcPr>
          <w:p w14:paraId="2E46F40E" w14:textId="77777777" w:rsidR="00EA3540" w:rsidRPr="00DD162A" w:rsidRDefault="00EA3540" w:rsidP="00A90500">
            <w:pPr>
              <w:jc w:val="right"/>
              <w:rPr>
                <w:rFonts w:ascii="Arial" w:hAnsi="Arial" w:cs="Arial"/>
                <w:sz w:val="20"/>
                <w:szCs w:val="20"/>
              </w:rPr>
            </w:pPr>
            <w:r w:rsidRPr="00DD162A">
              <w:rPr>
                <w:rFonts w:ascii="Arial" w:hAnsi="Arial" w:cs="Arial"/>
                <w:sz w:val="20"/>
                <w:szCs w:val="20"/>
              </w:rPr>
              <w:t>%</w:t>
            </w:r>
          </w:p>
        </w:tc>
        <w:tc>
          <w:tcPr>
            <w:tcW w:w="1701" w:type="dxa"/>
            <w:tcBorders>
              <w:top w:val="nil"/>
              <w:bottom w:val="single" w:sz="4" w:space="0" w:color="auto"/>
            </w:tcBorders>
            <w:shd w:val="clear" w:color="auto" w:fill="auto"/>
          </w:tcPr>
          <w:p w14:paraId="730D77D4" w14:textId="77777777" w:rsidR="00EA3540" w:rsidRPr="00DD162A" w:rsidRDefault="00EA3540" w:rsidP="00A90500">
            <w:pPr>
              <w:jc w:val="right"/>
              <w:rPr>
                <w:rFonts w:ascii="Arial" w:hAnsi="Arial" w:cs="Arial"/>
                <w:sz w:val="20"/>
                <w:szCs w:val="20"/>
              </w:rPr>
            </w:pPr>
            <w:r w:rsidRPr="00DD162A">
              <w:rPr>
                <w:rFonts w:ascii="Arial" w:hAnsi="Arial" w:cs="Arial"/>
                <w:sz w:val="20"/>
                <w:szCs w:val="20"/>
              </w:rPr>
              <w:t>%</w:t>
            </w:r>
          </w:p>
        </w:tc>
      </w:tr>
      <w:tr w:rsidR="00EA3540" w:rsidRPr="00DD162A" w14:paraId="011DA1AC" w14:textId="77777777" w:rsidTr="00A90500">
        <w:trPr>
          <w:trHeight w:val="283"/>
        </w:trPr>
        <w:tc>
          <w:tcPr>
            <w:tcW w:w="2428" w:type="dxa"/>
            <w:tcBorders>
              <w:top w:val="single" w:sz="4" w:space="0" w:color="auto"/>
            </w:tcBorders>
            <w:shd w:val="clear" w:color="auto" w:fill="auto"/>
          </w:tcPr>
          <w:p w14:paraId="2B9A5D68" w14:textId="77777777" w:rsidR="00EA3540" w:rsidRPr="00DD162A" w:rsidRDefault="00EA3540" w:rsidP="00A90500">
            <w:pPr>
              <w:jc w:val="both"/>
              <w:rPr>
                <w:rFonts w:ascii="Arial" w:hAnsi="Arial" w:cs="Arial"/>
                <w:sz w:val="20"/>
                <w:szCs w:val="20"/>
              </w:rPr>
            </w:pPr>
          </w:p>
        </w:tc>
        <w:tc>
          <w:tcPr>
            <w:tcW w:w="1683" w:type="dxa"/>
            <w:tcBorders>
              <w:top w:val="single" w:sz="4" w:space="0" w:color="auto"/>
            </w:tcBorders>
            <w:shd w:val="clear" w:color="auto" w:fill="auto"/>
          </w:tcPr>
          <w:p w14:paraId="5BFE31F3" w14:textId="77777777" w:rsidR="00EA3540" w:rsidRPr="00DD162A" w:rsidRDefault="00EA3540" w:rsidP="00A90500">
            <w:pPr>
              <w:jc w:val="right"/>
              <w:rPr>
                <w:rFonts w:ascii="Arial" w:hAnsi="Arial" w:cs="Arial"/>
                <w:sz w:val="20"/>
                <w:szCs w:val="20"/>
              </w:rPr>
            </w:pPr>
          </w:p>
        </w:tc>
        <w:tc>
          <w:tcPr>
            <w:tcW w:w="1701" w:type="dxa"/>
            <w:tcBorders>
              <w:top w:val="single" w:sz="4" w:space="0" w:color="auto"/>
            </w:tcBorders>
            <w:shd w:val="clear" w:color="auto" w:fill="auto"/>
          </w:tcPr>
          <w:p w14:paraId="41CF28F2" w14:textId="77777777" w:rsidR="00EA3540" w:rsidRPr="00DD162A" w:rsidRDefault="00EA3540" w:rsidP="00A90500">
            <w:pPr>
              <w:jc w:val="right"/>
              <w:rPr>
                <w:rFonts w:ascii="Arial" w:hAnsi="Arial" w:cs="Arial"/>
                <w:sz w:val="20"/>
                <w:szCs w:val="20"/>
              </w:rPr>
            </w:pPr>
          </w:p>
        </w:tc>
        <w:tc>
          <w:tcPr>
            <w:tcW w:w="1418" w:type="dxa"/>
            <w:tcBorders>
              <w:top w:val="single" w:sz="4" w:space="0" w:color="auto"/>
            </w:tcBorders>
            <w:shd w:val="clear" w:color="auto" w:fill="auto"/>
          </w:tcPr>
          <w:p w14:paraId="43629472" w14:textId="77777777" w:rsidR="00EA3540" w:rsidRPr="00DD162A" w:rsidRDefault="00EA3540" w:rsidP="00A90500">
            <w:pPr>
              <w:jc w:val="right"/>
              <w:rPr>
                <w:rFonts w:ascii="Arial" w:hAnsi="Arial" w:cs="Arial"/>
                <w:sz w:val="20"/>
                <w:szCs w:val="20"/>
              </w:rPr>
            </w:pPr>
          </w:p>
        </w:tc>
        <w:tc>
          <w:tcPr>
            <w:tcW w:w="1701" w:type="dxa"/>
            <w:tcBorders>
              <w:top w:val="single" w:sz="4" w:space="0" w:color="auto"/>
            </w:tcBorders>
            <w:shd w:val="clear" w:color="auto" w:fill="auto"/>
          </w:tcPr>
          <w:p w14:paraId="37E5ACA9" w14:textId="77777777" w:rsidR="00EA3540" w:rsidRPr="00DD162A" w:rsidRDefault="00EA3540" w:rsidP="00A90500">
            <w:pPr>
              <w:jc w:val="right"/>
              <w:rPr>
                <w:rFonts w:ascii="Arial" w:hAnsi="Arial" w:cs="Arial"/>
                <w:sz w:val="20"/>
                <w:szCs w:val="20"/>
              </w:rPr>
            </w:pPr>
          </w:p>
        </w:tc>
      </w:tr>
      <w:tr w:rsidR="00EA3540" w:rsidRPr="00DD162A" w14:paraId="06D16E88" w14:textId="77777777" w:rsidTr="00A90500">
        <w:trPr>
          <w:trHeight w:val="283"/>
        </w:trPr>
        <w:tc>
          <w:tcPr>
            <w:tcW w:w="2428" w:type="dxa"/>
            <w:shd w:val="clear" w:color="auto" w:fill="auto"/>
          </w:tcPr>
          <w:p w14:paraId="68CFE187" w14:textId="77777777" w:rsidR="00EA3540" w:rsidRPr="00DD162A" w:rsidRDefault="00EA3540" w:rsidP="00A90500">
            <w:pPr>
              <w:jc w:val="both"/>
              <w:rPr>
                <w:rFonts w:ascii="Arial" w:hAnsi="Arial" w:cs="Arial"/>
                <w:sz w:val="20"/>
                <w:szCs w:val="20"/>
              </w:rPr>
            </w:pPr>
            <w:r w:rsidRPr="00DD162A">
              <w:rPr>
                <w:rFonts w:ascii="Arial" w:hAnsi="Arial" w:cs="Arial"/>
                <w:sz w:val="20"/>
                <w:szCs w:val="20"/>
              </w:rPr>
              <w:t>UK</w:t>
            </w:r>
          </w:p>
        </w:tc>
        <w:tc>
          <w:tcPr>
            <w:tcW w:w="1683" w:type="dxa"/>
            <w:shd w:val="clear" w:color="auto" w:fill="auto"/>
          </w:tcPr>
          <w:p w14:paraId="0A0BF208" w14:textId="77777777" w:rsidR="00EA3540" w:rsidRPr="00DD162A" w:rsidRDefault="00EA3540" w:rsidP="00A90500">
            <w:pPr>
              <w:jc w:val="right"/>
              <w:rPr>
                <w:rFonts w:ascii="Arial" w:hAnsi="Arial" w:cs="Arial"/>
                <w:sz w:val="20"/>
                <w:szCs w:val="20"/>
              </w:rPr>
            </w:pPr>
            <w:r>
              <w:rPr>
                <w:rFonts w:ascii="Arial" w:hAnsi="Arial" w:cs="Arial"/>
                <w:sz w:val="20"/>
                <w:szCs w:val="20"/>
              </w:rPr>
              <w:t>60.7</w:t>
            </w:r>
          </w:p>
        </w:tc>
        <w:tc>
          <w:tcPr>
            <w:tcW w:w="1701" w:type="dxa"/>
            <w:shd w:val="clear" w:color="auto" w:fill="auto"/>
          </w:tcPr>
          <w:p w14:paraId="0750D0C3" w14:textId="77777777" w:rsidR="00EA3540" w:rsidRPr="00DD162A" w:rsidRDefault="00EA3540" w:rsidP="00A90500">
            <w:pPr>
              <w:jc w:val="right"/>
              <w:rPr>
                <w:rFonts w:ascii="Arial" w:hAnsi="Arial" w:cs="Arial"/>
                <w:sz w:val="20"/>
                <w:szCs w:val="20"/>
              </w:rPr>
            </w:pPr>
            <w:r>
              <w:rPr>
                <w:rFonts w:ascii="Arial" w:hAnsi="Arial" w:cs="Arial"/>
                <w:sz w:val="20"/>
                <w:szCs w:val="20"/>
              </w:rPr>
              <w:t>58.0</w:t>
            </w:r>
          </w:p>
        </w:tc>
        <w:tc>
          <w:tcPr>
            <w:tcW w:w="1418" w:type="dxa"/>
            <w:shd w:val="clear" w:color="auto" w:fill="auto"/>
          </w:tcPr>
          <w:p w14:paraId="426570A0" w14:textId="77777777" w:rsidR="00EA3540" w:rsidRPr="00DD162A" w:rsidRDefault="00EA3540" w:rsidP="00A90500">
            <w:pPr>
              <w:jc w:val="right"/>
              <w:rPr>
                <w:rFonts w:ascii="Arial" w:hAnsi="Arial" w:cs="Arial"/>
                <w:sz w:val="20"/>
                <w:szCs w:val="20"/>
              </w:rPr>
            </w:pPr>
            <w:r>
              <w:rPr>
                <w:rFonts w:ascii="Arial" w:hAnsi="Arial" w:cs="Arial"/>
                <w:sz w:val="20"/>
                <w:szCs w:val="20"/>
              </w:rPr>
              <w:t>5%</w:t>
            </w:r>
          </w:p>
        </w:tc>
        <w:tc>
          <w:tcPr>
            <w:tcW w:w="1701" w:type="dxa"/>
            <w:shd w:val="clear" w:color="auto" w:fill="auto"/>
          </w:tcPr>
          <w:p w14:paraId="489E9546" w14:textId="77777777" w:rsidR="00EA3540" w:rsidRPr="00DD162A" w:rsidRDefault="00EA3540" w:rsidP="00A90500">
            <w:pPr>
              <w:jc w:val="right"/>
              <w:rPr>
                <w:rFonts w:ascii="Arial" w:hAnsi="Arial" w:cs="Arial"/>
                <w:sz w:val="20"/>
                <w:szCs w:val="20"/>
              </w:rPr>
            </w:pPr>
            <w:r>
              <w:rPr>
                <w:rFonts w:ascii="Arial" w:hAnsi="Arial" w:cs="Arial"/>
                <w:sz w:val="20"/>
                <w:szCs w:val="20"/>
              </w:rPr>
              <w:t>51%</w:t>
            </w:r>
          </w:p>
        </w:tc>
      </w:tr>
      <w:tr w:rsidR="00EA3540" w:rsidRPr="00DD162A" w14:paraId="5BDC16AF" w14:textId="77777777" w:rsidTr="00A90500">
        <w:trPr>
          <w:trHeight w:val="283"/>
        </w:trPr>
        <w:tc>
          <w:tcPr>
            <w:tcW w:w="2428" w:type="dxa"/>
            <w:shd w:val="clear" w:color="auto" w:fill="auto"/>
          </w:tcPr>
          <w:p w14:paraId="2B8A118D" w14:textId="77777777" w:rsidR="00EA3540" w:rsidRDefault="00EA3540" w:rsidP="00A90500">
            <w:pPr>
              <w:jc w:val="both"/>
              <w:rPr>
                <w:rFonts w:ascii="Arial" w:hAnsi="Arial" w:cs="Arial"/>
                <w:sz w:val="20"/>
                <w:szCs w:val="20"/>
              </w:rPr>
            </w:pPr>
            <w:r w:rsidRPr="00DD162A">
              <w:rPr>
                <w:rFonts w:ascii="Arial" w:hAnsi="Arial" w:cs="Arial"/>
                <w:sz w:val="20"/>
                <w:szCs w:val="20"/>
              </w:rPr>
              <w:t>USA</w:t>
            </w:r>
          </w:p>
        </w:tc>
        <w:tc>
          <w:tcPr>
            <w:tcW w:w="1683" w:type="dxa"/>
            <w:shd w:val="clear" w:color="auto" w:fill="auto"/>
          </w:tcPr>
          <w:p w14:paraId="6AD02643" w14:textId="77777777" w:rsidR="00EA3540" w:rsidRPr="00DD162A" w:rsidRDefault="00EA3540" w:rsidP="00A90500">
            <w:pPr>
              <w:jc w:val="right"/>
              <w:rPr>
                <w:rFonts w:ascii="Arial" w:hAnsi="Arial" w:cs="Arial"/>
                <w:sz w:val="20"/>
                <w:szCs w:val="20"/>
              </w:rPr>
            </w:pPr>
            <w:r>
              <w:rPr>
                <w:rFonts w:ascii="Arial" w:hAnsi="Arial" w:cs="Arial"/>
                <w:sz w:val="20"/>
                <w:szCs w:val="20"/>
              </w:rPr>
              <w:t>19.8</w:t>
            </w:r>
          </w:p>
        </w:tc>
        <w:tc>
          <w:tcPr>
            <w:tcW w:w="1701" w:type="dxa"/>
            <w:shd w:val="clear" w:color="auto" w:fill="auto"/>
          </w:tcPr>
          <w:p w14:paraId="4E58C296" w14:textId="77777777" w:rsidR="00EA3540" w:rsidRDefault="00EA3540" w:rsidP="00A90500">
            <w:pPr>
              <w:jc w:val="right"/>
              <w:rPr>
                <w:rFonts w:ascii="Arial" w:hAnsi="Arial" w:cs="Arial"/>
                <w:sz w:val="20"/>
                <w:szCs w:val="20"/>
              </w:rPr>
            </w:pPr>
            <w:r>
              <w:rPr>
                <w:rFonts w:ascii="Arial" w:hAnsi="Arial" w:cs="Arial"/>
                <w:sz w:val="20"/>
                <w:szCs w:val="20"/>
              </w:rPr>
              <w:t>15.1</w:t>
            </w:r>
          </w:p>
        </w:tc>
        <w:tc>
          <w:tcPr>
            <w:tcW w:w="1418" w:type="dxa"/>
            <w:shd w:val="clear" w:color="auto" w:fill="auto"/>
          </w:tcPr>
          <w:p w14:paraId="3E2DE436" w14:textId="77777777" w:rsidR="00EA3540" w:rsidRPr="00DD162A" w:rsidRDefault="00EA3540" w:rsidP="00A90500">
            <w:pPr>
              <w:jc w:val="right"/>
              <w:rPr>
                <w:rFonts w:ascii="Arial" w:hAnsi="Arial" w:cs="Arial"/>
                <w:sz w:val="20"/>
                <w:szCs w:val="20"/>
              </w:rPr>
            </w:pPr>
            <w:r>
              <w:rPr>
                <w:rFonts w:ascii="Arial" w:hAnsi="Arial" w:cs="Arial"/>
                <w:sz w:val="20"/>
                <w:szCs w:val="20"/>
              </w:rPr>
              <w:t>31%</w:t>
            </w:r>
          </w:p>
        </w:tc>
        <w:tc>
          <w:tcPr>
            <w:tcW w:w="1701" w:type="dxa"/>
            <w:shd w:val="clear" w:color="auto" w:fill="auto"/>
          </w:tcPr>
          <w:p w14:paraId="0198BECB" w14:textId="77777777" w:rsidR="00EA3540" w:rsidRPr="00DD162A" w:rsidRDefault="00EA3540" w:rsidP="00A90500">
            <w:pPr>
              <w:jc w:val="right"/>
              <w:rPr>
                <w:rFonts w:ascii="Arial" w:hAnsi="Arial" w:cs="Arial"/>
                <w:sz w:val="20"/>
                <w:szCs w:val="20"/>
              </w:rPr>
            </w:pPr>
            <w:r>
              <w:rPr>
                <w:rFonts w:ascii="Arial" w:hAnsi="Arial" w:cs="Arial"/>
                <w:sz w:val="20"/>
                <w:szCs w:val="20"/>
              </w:rPr>
              <w:t>17%</w:t>
            </w:r>
          </w:p>
        </w:tc>
      </w:tr>
      <w:tr w:rsidR="00EA3540" w:rsidRPr="00DD162A" w14:paraId="759AD40B" w14:textId="77777777" w:rsidTr="00A90500">
        <w:trPr>
          <w:trHeight w:val="283"/>
        </w:trPr>
        <w:tc>
          <w:tcPr>
            <w:tcW w:w="2428" w:type="dxa"/>
            <w:shd w:val="clear" w:color="auto" w:fill="auto"/>
          </w:tcPr>
          <w:p w14:paraId="255F2679" w14:textId="77777777" w:rsidR="00EA3540" w:rsidRPr="00DD162A" w:rsidRDefault="00EA3540" w:rsidP="00A90500">
            <w:pPr>
              <w:jc w:val="both"/>
              <w:rPr>
                <w:rFonts w:ascii="Arial" w:hAnsi="Arial" w:cs="Arial"/>
                <w:sz w:val="20"/>
                <w:szCs w:val="20"/>
              </w:rPr>
            </w:pPr>
            <w:r w:rsidRPr="00DD162A">
              <w:rPr>
                <w:rFonts w:ascii="Arial" w:hAnsi="Arial" w:cs="Arial"/>
                <w:sz w:val="20"/>
                <w:szCs w:val="20"/>
              </w:rPr>
              <w:t>Europe</w:t>
            </w:r>
          </w:p>
        </w:tc>
        <w:tc>
          <w:tcPr>
            <w:tcW w:w="1683" w:type="dxa"/>
            <w:shd w:val="clear" w:color="auto" w:fill="auto"/>
          </w:tcPr>
          <w:p w14:paraId="4E53A84D" w14:textId="77777777" w:rsidR="00EA3540" w:rsidRPr="00DD162A" w:rsidRDefault="00EA3540" w:rsidP="00A90500">
            <w:pPr>
              <w:jc w:val="right"/>
              <w:rPr>
                <w:rFonts w:ascii="Arial" w:hAnsi="Arial" w:cs="Arial"/>
                <w:sz w:val="20"/>
                <w:szCs w:val="20"/>
              </w:rPr>
            </w:pPr>
            <w:r>
              <w:rPr>
                <w:rFonts w:ascii="Arial" w:hAnsi="Arial" w:cs="Arial"/>
                <w:sz w:val="20"/>
                <w:szCs w:val="20"/>
              </w:rPr>
              <w:t>29.0</w:t>
            </w:r>
          </w:p>
        </w:tc>
        <w:tc>
          <w:tcPr>
            <w:tcW w:w="1701" w:type="dxa"/>
            <w:shd w:val="clear" w:color="auto" w:fill="auto"/>
          </w:tcPr>
          <w:p w14:paraId="7A6C8296" w14:textId="77777777" w:rsidR="00EA3540" w:rsidRPr="00DD162A" w:rsidRDefault="00EA3540" w:rsidP="00A90500">
            <w:pPr>
              <w:jc w:val="right"/>
              <w:rPr>
                <w:rFonts w:ascii="Arial" w:hAnsi="Arial" w:cs="Arial"/>
                <w:sz w:val="20"/>
                <w:szCs w:val="20"/>
              </w:rPr>
            </w:pPr>
            <w:r>
              <w:rPr>
                <w:rFonts w:ascii="Arial" w:hAnsi="Arial" w:cs="Arial"/>
                <w:sz w:val="20"/>
                <w:szCs w:val="20"/>
              </w:rPr>
              <w:t>25.8</w:t>
            </w:r>
          </w:p>
        </w:tc>
        <w:tc>
          <w:tcPr>
            <w:tcW w:w="1418" w:type="dxa"/>
            <w:shd w:val="clear" w:color="auto" w:fill="auto"/>
          </w:tcPr>
          <w:p w14:paraId="2FDAB4EC" w14:textId="77777777" w:rsidR="00EA3540" w:rsidRPr="00DD162A" w:rsidRDefault="00EA3540" w:rsidP="00A90500">
            <w:pPr>
              <w:jc w:val="right"/>
              <w:rPr>
                <w:rFonts w:ascii="Arial" w:hAnsi="Arial" w:cs="Arial"/>
                <w:sz w:val="20"/>
                <w:szCs w:val="20"/>
              </w:rPr>
            </w:pPr>
            <w:r>
              <w:rPr>
                <w:rFonts w:ascii="Arial" w:hAnsi="Arial" w:cs="Arial"/>
                <w:sz w:val="20"/>
                <w:szCs w:val="20"/>
              </w:rPr>
              <w:t>13%</w:t>
            </w:r>
          </w:p>
        </w:tc>
        <w:tc>
          <w:tcPr>
            <w:tcW w:w="1701" w:type="dxa"/>
            <w:shd w:val="clear" w:color="auto" w:fill="auto"/>
          </w:tcPr>
          <w:p w14:paraId="745B8218" w14:textId="77777777" w:rsidR="00EA3540" w:rsidRPr="00DD162A" w:rsidRDefault="00EA3540" w:rsidP="00A90500">
            <w:pPr>
              <w:jc w:val="right"/>
              <w:rPr>
                <w:rFonts w:ascii="Arial" w:hAnsi="Arial" w:cs="Arial"/>
                <w:sz w:val="20"/>
                <w:szCs w:val="20"/>
              </w:rPr>
            </w:pPr>
            <w:r>
              <w:rPr>
                <w:rFonts w:ascii="Arial" w:hAnsi="Arial" w:cs="Arial"/>
                <w:sz w:val="20"/>
                <w:szCs w:val="20"/>
              </w:rPr>
              <w:t>25%</w:t>
            </w:r>
          </w:p>
        </w:tc>
      </w:tr>
      <w:tr w:rsidR="00EA3540" w:rsidRPr="00DD162A" w14:paraId="659200CA" w14:textId="77777777" w:rsidTr="00A90500">
        <w:trPr>
          <w:trHeight w:val="283"/>
        </w:trPr>
        <w:tc>
          <w:tcPr>
            <w:tcW w:w="2428" w:type="dxa"/>
            <w:shd w:val="clear" w:color="auto" w:fill="auto"/>
          </w:tcPr>
          <w:p w14:paraId="4FC5979E" w14:textId="77777777" w:rsidR="00EA3540" w:rsidRPr="00DD162A" w:rsidRDefault="00EA3540" w:rsidP="00A90500">
            <w:pPr>
              <w:jc w:val="both"/>
              <w:rPr>
                <w:rFonts w:ascii="Arial" w:hAnsi="Arial" w:cs="Arial"/>
                <w:sz w:val="20"/>
                <w:szCs w:val="20"/>
              </w:rPr>
            </w:pPr>
            <w:r w:rsidRPr="00DD162A">
              <w:rPr>
                <w:rFonts w:ascii="Arial" w:hAnsi="Arial" w:cs="Arial"/>
                <w:sz w:val="20"/>
                <w:szCs w:val="20"/>
              </w:rPr>
              <w:t>RoW</w:t>
            </w:r>
          </w:p>
        </w:tc>
        <w:tc>
          <w:tcPr>
            <w:tcW w:w="1683" w:type="dxa"/>
            <w:shd w:val="clear" w:color="auto" w:fill="auto"/>
          </w:tcPr>
          <w:p w14:paraId="6A565858" w14:textId="77777777" w:rsidR="00EA3540" w:rsidRPr="00DD162A" w:rsidRDefault="00EA3540" w:rsidP="00A90500">
            <w:pPr>
              <w:jc w:val="right"/>
              <w:rPr>
                <w:rFonts w:ascii="Arial" w:hAnsi="Arial" w:cs="Arial"/>
                <w:sz w:val="20"/>
                <w:szCs w:val="20"/>
              </w:rPr>
            </w:pPr>
            <w:r>
              <w:rPr>
                <w:rFonts w:ascii="Arial" w:hAnsi="Arial" w:cs="Arial"/>
                <w:sz w:val="20"/>
                <w:szCs w:val="20"/>
              </w:rPr>
              <w:t>7.8</w:t>
            </w:r>
          </w:p>
        </w:tc>
        <w:tc>
          <w:tcPr>
            <w:tcW w:w="1701" w:type="dxa"/>
            <w:shd w:val="clear" w:color="auto" w:fill="auto"/>
          </w:tcPr>
          <w:p w14:paraId="0D8820E8" w14:textId="77777777" w:rsidR="00EA3540" w:rsidRPr="00DD162A" w:rsidRDefault="00EA3540" w:rsidP="00A90500">
            <w:pPr>
              <w:jc w:val="right"/>
              <w:rPr>
                <w:rFonts w:ascii="Arial" w:hAnsi="Arial" w:cs="Arial"/>
                <w:sz w:val="20"/>
                <w:szCs w:val="20"/>
              </w:rPr>
            </w:pPr>
            <w:r>
              <w:rPr>
                <w:rFonts w:ascii="Arial" w:hAnsi="Arial" w:cs="Arial"/>
                <w:sz w:val="20"/>
                <w:szCs w:val="20"/>
              </w:rPr>
              <w:t>5.3</w:t>
            </w:r>
          </w:p>
        </w:tc>
        <w:tc>
          <w:tcPr>
            <w:tcW w:w="1418" w:type="dxa"/>
            <w:shd w:val="clear" w:color="auto" w:fill="auto"/>
          </w:tcPr>
          <w:p w14:paraId="3A631E34" w14:textId="77777777" w:rsidR="00EA3540" w:rsidRPr="00DD162A" w:rsidRDefault="00EA3540" w:rsidP="00A90500">
            <w:pPr>
              <w:jc w:val="right"/>
              <w:rPr>
                <w:rFonts w:ascii="Arial" w:hAnsi="Arial" w:cs="Arial"/>
                <w:sz w:val="20"/>
                <w:szCs w:val="20"/>
              </w:rPr>
            </w:pPr>
            <w:r>
              <w:rPr>
                <w:rFonts w:ascii="Arial" w:hAnsi="Arial" w:cs="Arial"/>
                <w:sz w:val="20"/>
                <w:szCs w:val="20"/>
              </w:rPr>
              <w:t>49%</w:t>
            </w:r>
          </w:p>
        </w:tc>
        <w:tc>
          <w:tcPr>
            <w:tcW w:w="1701" w:type="dxa"/>
            <w:shd w:val="clear" w:color="auto" w:fill="auto"/>
          </w:tcPr>
          <w:p w14:paraId="078A7408" w14:textId="77777777" w:rsidR="00EA3540" w:rsidRPr="00DD162A" w:rsidRDefault="00EA3540" w:rsidP="00A90500">
            <w:pPr>
              <w:jc w:val="right"/>
              <w:rPr>
                <w:rFonts w:ascii="Arial" w:hAnsi="Arial" w:cs="Arial"/>
                <w:sz w:val="20"/>
                <w:szCs w:val="20"/>
              </w:rPr>
            </w:pPr>
            <w:r>
              <w:rPr>
                <w:rFonts w:ascii="Arial" w:hAnsi="Arial" w:cs="Arial"/>
                <w:sz w:val="20"/>
                <w:szCs w:val="20"/>
              </w:rPr>
              <w:t>7%</w:t>
            </w:r>
          </w:p>
        </w:tc>
      </w:tr>
      <w:tr w:rsidR="00EA3540" w:rsidRPr="00DD162A" w14:paraId="320F980C" w14:textId="77777777" w:rsidTr="00A90500">
        <w:trPr>
          <w:trHeight w:val="283"/>
        </w:trPr>
        <w:tc>
          <w:tcPr>
            <w:tcW w:w="2428" w:type="dxa"/>
            <w:shd w:val="clear" w:color="auto" w:fill="auto"/>
          </w:tcPr>
          <w:p w14:paraId="2D3533D4" w14:textId="77777777" w:rsidR="00EA3540" w:rsidRPr="00DD162A" w:rsidRDefault="00EA3540" w:rsidP="00A90500">
            <w:pPr>
              <w:jc w:val="both"/>
              <w:rPr>
                <w:rFonts w:ascii="Arial" w:hAnsi="Arial" w:cs="Arial"/>
                <w:sz w:val="20"/>
                <w:szCs w:val="20"/>
              </w:rPr>
            </w:pPr>
          </w:p>
        </w:tc>
        <w:tc>
          <w:tcPr>
            <w:tcW w:w="1683" w:type="dxa"/>
            <w:shd w:val="clear" w:color="auto" w:fill="auto"/>
          </w:tcPr>
          <w:p w14:paraId="6D121BD0" w14:textId="77777777" w:rsidR="00EA3540" w:rsidRPr="00DD162A" w:rsidRDefault="00EA3540" w:rsidP="00A90500">
            <w:pPr>
              <w:jc w:val="right"/>
              <w:rPr>
                <w:rFonts w:ascii="Arial" w:hAnsi="Arial" w:cs="Arial"/>
                <w:sz w:val="20"/>
                <w:szCs w:val="20"/>
              </w:rPr>
            </w:pPr>
          </w:p>
        </w:tc>
        <w:tc>
          <w:tcPr>
            <w:tcW w:w="1701" w:type="dxa"/>
            <w:shd w:val="clear" w:color="auto" w:fill="auto"/>
          </w:tcPr>
          <w:p w14:paraId="6AC1E58F" w14:textId="77777777" w:rsidR="00EA3540" w:rsidRPr="00DD162A" w:rsidRDefault="00EA3540" w:rsidP="00A90500">
            <w:pPr>
              <w:jc w:val="right"/>
              <w:rPr>
                <w:rFonts w:ascii="Arial" w:hAnsi="Arial" w:cs="Arial"/>
                <w:sz w:val="20"/>
                <w:szCs w:val="20"/>
              </w:rPr>
            </w:pPr>
          </w:p>
        </w:tc>
        <w:tc>
          <w:tcPr>
            <w:tcW w:w="1418" w:type="dxa"/>
            <w:shd w:val="clear" w:color="auto" w:fill="auto"/>
          </w:tcPr>
          <w:p w14:paraId="2B90877A" w14:textId="77777777" w:rsidR="00EA3540" w:rsidRPr="00DD162A" w:rsidRDefault="00EA3540" w:rsidP="00A90500">
            <w:pPr>
              <w:jc w:val="right"/>
              <w:rPr>
                <w:rFonts w:ascii="Arial" w:hAnsi="Arial" w:cs="Arial"/>
                <w:sz w:val="20"/>
                <w:szCs w:val="20"/>
              </w:rPr>
            </w:pPr>
          </w:p>
        </w:tc>
        <w:tc>
          <w:tcPr>
            <w:tcW w:w="1701" w:type="dxa"/>
            <w:shd w:val="clear" w:color="auto" w:fill="auto"/>
          </w:tcPr>
          <w:p w14:paraId="62AA15B4" w14:textId="77777777" w:rsidR="00EA3540" w:rsidRPr="00DD162A" w:rsidRDefault="00EA3540" w:rsidP="00A90500">
            <w:pPr>
              <w:jc w:val="right"/>
              <w:rPr>
                <w:rFonts w:ascii="Arial" w:hAnsi="Arial" w:cs="Arial"/>
                <w:sz w:val="20"/>
                <w:szCs w:val="20"/>
              </w:rPr>
            </w:pPr>
          </w:p>
        </w:tc>
      </w:tr>
      <w:tr w:rsidR="00EA3540" w:rsidRPr="00DD162A" w14:paraId="552B1BD6" w14:textId="77777777" w:rsidTr="00A90500">
        <w:trPr>
          <w:trHeight w:val="283"/>
        </w:trPr>
        <w:tc>
          <w:tcPr>
            <w:tcW w:w="2428" w:type="dxa"/>
            <w:shd w:val="clear" w:color="auto" w:fill="auto"/>
          </w:tcPr>
          <w:p w14:paraId="1B48CF4A" w14:textId="77777777" w:rsidR="00EA3540" w:rsidRPr="00DD162A" w:rsidRDefault="00EA3540" w:rsidP="00A90500">
            <w:pPr>
              <w:jc w:val="both"/>
              <w:rPr>
                <w:rFonts w:ascii="Arial" w:hAnsi="Arial" w:cs="Arial"/>
                <w:sz w:val="20"/>
                <w:szCs w:val="20"/>
              </w:rPr>
            </w:pPr>
            <w:r w:rsidRPr="00DD162A">
              <w:rPr>
                <w:rFonts w:ascii="Arial" w:hAnsi="Arial" w:cs="Arial"/>
                <w:sz w:val="20"/>
                <w:szCs w:val="20"/>
              </w:rPr>
              <w:t>Total</w:t>
            </w:r>
          </w:p>
        </w:tc>
        <w:tc>
          <w:tcPr>
            <w:tcW w:w="1683" w:type="dxa"/>
            <w:shd w:val="clear" w:color="auto" w:fill="auto"/>
          </w:tcPr>
          <w:p w14:paraId="534515EF" w14:textId="77777777" w:rsidR="00EA3540" w:rsidRPr="00DD162A" w:rsidRDefault="00EA3540" w:rsidP="00A90500">
            <w:pPr>
              <w:jc w:val="right"/>
              <w:rPr>
                <w:rFonts w:ascii="Arial" w:hAnsi="Arial" w:cs="Arial"/>
                <w:sz w:val="20"/>
                <w:szCs w:val="20"/>
              </w:rPr>
            </w:pPr>
            <w:r>
              <w:rPr>
                <w:rFonts w:ascii="Arial" w:hAnsi="Arial" w:cs="Arial"/>
                <w:sz w:val="20"/>
                <w:szCs w:val="20"/>
              </w:rPr>
              <w:t>117.3</w:t>
            </w:r>
          </w:p>
        </w:tc>
        <w:tc>
          <w:tcPr>
            <w:tcW w:w="1701" w:type="dxa"/>
            <w:shd w:val="clear" w:color="auto" w:fill="auto"/>
          </w:tcPr>
          <w:p w14:paraId="1C6759AD" w14:textId="77777777" w:rsidR="00EA3540" w:rsidRPr="00DD162A" w:rsidRDefault="00EA3540" w:rsidP="00A90500">
            <w:pPr>
              <w:jc w:val="right"/>
              <w:rPr>
                <w:rFonts w:ascii="Arial" w:hAnsi="Arial" w:cs="Arial"/>
                <w:sz w:val="20"/>
                <w:szCs w:val="20"/>
              </w:rPr>
            </w:pPr>
            <w:r>
              <w:rPr>
                <w:rFonts w:ascii="Arial" w:hAnsi="Arial" w:cs="Arial"/>
                <w:sz w:val="20"/>
                <w:szCs w:val="20"/>
              </w:rPr>
              <w:t>104.2</w:t>
            </w:r>
          </w:p>
        </w:tc>
        <w:tc>
          <w:tcPr>
            <w:tcW w:w="1418" w:type="dxa"/>
            <w:shd w:val="clear" w:color="auto" w:fill="auto"/>
          </w:tcPr>
          <w:p w14:paraId="43E8123F" w14:textId="77777777" w:rsidR="00EA3540" w:rsidRPr="00DD162A" w:rsidRDefault="00EA3540" w:rsidP="00A90500">
            <w:pPr>
              <w:jc w:val="right"/>
              <w:rPr>
                <w:rFonts w:ascii="Arial" w:hAnsi="Arial" w:cs="Arial"/>
                <w:sz w:val="20"/>
                <w:szCs w:val="20"/>
              </w:rPr>
            </w:pPr>
            <w:r>
              <w:rPr>
                <w:rFonts w:ascii="Arial" w:hAnsi="Arial" w:cs="Arial"/>
                <w:sz w:val="20"/>
                <w:szCs w:val="20"/>
              </w:rPr>
              <w:t>13%</w:t>
            </w:r>
          </w:p>
        </w:tc>
        <w:tc>
          <w:tcPr>
            <w:tcW w:w="1701" w:type="dxa"/>
            <w:shd w:val="clear" w:color="auto" w:fill="auto"/>
          </w:tcPr>
          <w:p w14:paraId="3910D0E8" w14:textId="77777777" w:rsidR="00EA3540" w:rsidRPr="00DD162A" w:rsidRDefault="00EA3540" w:rsidP="00A90500">
            <w:pPr>
              <w:jc w:val="right"/>
              <w:rPr>
                <w:rFonts w:ascii="Arial" w:hAnsi="Arial" w:cs="Arial"/>
                <w:sz w:val="20"/>
                <w:szCs w:val="20"/>
              </w:rPr>
            </w:pPr>
            <w:r>
              <w:rPr>
                <w:rFonts w:ascii="Arial" w:hAnsi="Arial" w:cs="Arial"/>
                <w:sz w:val="20"/>
                <w:szCs w:val="20"/>
              </w:rPr>
              <w:t>100%</w:t>
            </w:r>
          </w:p>
        </w:tc>
      </w:tr>
      <w:tr w:rsidR="00EA3540" w:rsidRPr="00DD162A" w14:paraId="5E6A4DAD" w14:textId="77777777" w:rsidTr="00A90500">
        <w:trPr>
          <w:trHeight w:val="283"/>
        </w:trPr>
        <w:tc>
          <w:tcPr>
            <w:tcW w:w="2428" w:type="dxa"/>
            <w:shd w:val="clear" w:color="auto" w:fill="auto"/>
          </w:tcPr>
          <w:p w14:paraId="71D7CC7D" w14:textId="77777777" w:rsidR="00EA3540" w:rsidRPr="00DD162A" w:rsidRDefault="00EA3540" w:rsidP="00A90500">
            <w:pPr>
              <w:jc w:val="both"/>
              <w:rPr>
                <w:rFonts w:ascii="Arial" w:hAnsi="Arial" w:cs="Arial"/>
                <w:sz w:val="20"/>
                <w:szCs w:val="20"/>
              </w:rPr>
            </w:pPr>
          </w:p>
        </w:tc>
        <w:tc>
          <w:tcPr>
            <w:tcW w:w="1683" w:type="dxa"/>
            <w:shd w:val="clear" w:color="auto" w:fill="auto"/>
          </w:tcPr>
          <w:p w14:paraId="7ECCB8E3" w14:textId="77777777" w:rsidR="00EA3540" w:rsidRPr="00DD162A" w:rsidRDefault="00EA3540" w:rsidP="00A90500">
            <w:pPr>
              <w:jc w:val="right"/>
              <w:rPr>
                <w:rFonts w:ascii="Arial" w:hAnsi="Arial" w:cs="Arial"/>
                <w:sz w:val="20"/>
                <w:szCs w:val="20"/>
              </w:rPr>
            </w:pPr>
          </w:p>
        </w:tc>
        <w:tc>
          <w:tcPr>
            <w:tcW w:w="1701" w:type="dxa"/>
            <w:shd w:val="clear" w:color="auto" w:fill="auto"/>
          </w:tcPr>
          <w:p w14:paraId="0EDDE8CF" w14:textId="77777777" w:rsidR="00EA3540" w:rsidRPr="00DD162A" w:rsidRDefault="00EA3540" w:rsidP="00A90500">
            <w:pPr>
              <w:jc w:val="right"/>
              <w:rPr>
                <w:rFonts w:ascii="Arial" w:hAnsi="Arial" w:cs="Arial"/>
                <w:sz w:val="20"/>
                <w:szCs w:val="20"/>
              </w:rPr>
            </w:pPr>
          </w:p>
        </w:tc>
        <w:tc>
          <w:tcPr>
            <w:tcW w:w="1418" w:type="dxa"/>
            <w:shd w:val="clear" w:color="auto" w:fill="auto"/>
          </w:tcPr>
          <w:p w14:paraId="723908EA" w14:textId="77777777" w:rsidR="00EA3540" w:rsidRPr="00DD162A" w:rsidRDefault="00EA3540" w:rsidP="00A90500">
            <w:pPr>
              <w:jc w:val="right"/>
              <w:rPr>
                <w:rFonts w:ascii="Arial" w:hAnsi="Arial" w:cs="Arial"/>
                <w:sz w:val="20"/>
                <w:szCs w:val="20"/>
              </w:rPr>
            </w:pPr>
          </w:p>
        </w:tc>
        <w:tc>
          <w:tcPr>
            <w:tcW w:w="1701" w:type="dxa"/>
            <w:shd w:val="clear" w:color="auto" w:fill="auto"/>
          </w:tcPr>
          <w:p w14:paraId="1117F04C" w14:textId="77777777" w:rsidR="00EA3540" w:rsidRPr="00DD162A" w:rsidRDefault="00EA3540" w:rsidP="00A90500">
            <w:pPr>
              <w:jc w:val="right"/>
              <w:rPr>
                <w:rFonts w:ascii="Arial" w:hAnsi="Arial" w:cs="Arial"/>
                <w:sz w:val="20"/>
                <w:szCs w:val="20"/>
              </w:rPr>
            </w:pPr>
          </w:p>
        </w:tc>
      </w:tr>
    </w:tbl>
    <w:p w14:paraId="2F32DD49" w14:textId="77777777" w:rsidR="00EA3540" w:rsidRDefault="00EA3540" w:rsidP="00EA3540">
      <w:pPr>
        <w:spacing w:after="160" w:line="259" w:lineRule="auto"/>
        <w:rPr>
          <w:rFonts w:ascii="Arial" w:hAnsi="Arial" w:cs="Arial"/>
          <w:b/>
          <w:sz w:val="20"/>
          <w:szCs w:val="20"/>
        </w:rPr>
      </w:pPr>
    </w:p>
    <w:p w14:paraId="4D600186" w14:textId="77777777" w:rsidR="00EA3540" w:rsidRPr="002F09C6" w:rsidRDefault="00EA3540" w:rsidP="00EA3540">
      <w:pPr>
        <w:spacing w:after="160" w:line="259" w:lineRule="auto"/>
        <w:rPr>
          <w:rFonts w:ascii="Arial" w:hAnsi="Arial" w:cs="Arial"/>
          <w:b/>
          <w:sz w:val="20"/>
          <w:szCs w:val="20"/>
        </w:rPr>
      </w:pPr>
      <w:r w:rsidRPr="002F09C6">
        <w:rPr>
          <w:rFonts w:ascii="Arial" w:hAnsi="Arial" w:cs="Arial"/>
          <w:b/>
          <w:sz w:val="20"/>
          <w:szCs w:val="20"/>
        </w:rPr>
        <w:t>UK</w:t>
      </w:r>
    </w:p>
    <w:p w14:paraId="772760DF" w14:textId="2EB81F5D" w:rsidR="00EA3540" w:rsidRPr="007B593C" w:rsidRDefault="00EA3540" w:rsidP="00EA3540">
      <w:pPr>
        <w:jc w:val="both"/>
        <w:rPr>
          <w:rFonts w:ascii="Arial" w:eastAsia="Times New Roman" w:hAnsi="Arial" w:cs="Arial"/>
          <w:sz w:val="20"/>
          <w:szCs w:val="20"/>
        </w:rPr>
      </w:pPr>
      <w:r w:rsidRPr="007B593C">
        <w:rPr>
          <w:rFonts w:ascii="Arial" w:eastAsia="Times New Roman" w:hAnsi="Arial" w:cs="Arial"/>
          <w:sz w:val="20"/>
          <w:szCs w:val="20"/>
        </w:rPr>
        <w:t xml:space="preserve">The UK is Fever-Tree’s largest market and the Group </w:t>
      </w:r>
      <w:r>
        <w:rPr>
          <w:rFonts w:ascii="Arial" w:eastAsia="Times New Roman" w:hAnsi="Arial" w:cs="Arial"/>
          <w:sz w:val="20"/>
          <w:szCs w:val="20"/>
        </w:rPr>
        <w:t xml:space="preserve">has consolidated its position </w:t>
      </w:r>
      <w:r w:rsidRPr="007B593C">
        <w:rPr>
          <w:rFonts w:ascii="Arial" w:eastAsia="Times New Roman" w:hAnsi="Arial" w:cs="Arial"/>
          <w:sz w:val="20"/>
          <w:szCs w:val="20"/>
        </w:rPr>
        <w:t>as the no</w:t>
      </w:r>
      <w:r>
        <w:rPr>
          <w:rFonts w:ascii="Arial" w:eastAsia="Times New Roman" w:hAnsi="Arial" w:cs="Arial"/>
          <w:sz w:val="20"/>
          <w:szCs w:val="20"/>
        </w:rPr>
        <w:t>.</w:t>
      </w:r>
      <w:r w:rsidRPr="007B593C">
        <w:rPr>
          <w:rFonts w:ascii="Arial" w:eastAsia="Times New Roman" w:hAnsi="Arial" w:cs="Arial"/>
          <w:sz w:val="20"/>
          <w:szCs w:val="20"/>
        </w:rPr>
        <w:t xml:space="preserve"> 1 mixer by value across </w:t>
      </w:r>
      <w:r>
        <w:rPr>
          <w:rFonts w:ascii="Arial" w:eastAsia="Times New Roman" w:hAnsi="Arial" w:cs="Arial"/>
          <w:sz w:val="20"/>
          <w:szCs w:val="20"/>
        </w:rPr>
        <w:t>both the</w:t>
      </w:r>
      <w:r w:rsidRPr="007B593C">
        <w:rPr>
          <w:rFonts w:ascii="Arial" w:eastAsia="Times New Roman" w:hAnsi="Arial" w:cs="Arial"/>
          <w:sz w:val="20"/>
          <w:szCs w:val="20"/>
        </w:rPr>
        <w:t xml:space="preserve"> </w:t>
      </w:r>
      <w:r w:rsidR="002330B5">
        <w:rPr>
          <w:rFonts w:ascii="Arial" w:eastAsia="Times New Roman" w:hAnsi="Arial" w:cs="Arial"/>
          <w:sz w:val="20"/>
          <w:szCs w:val="20"/>
        </w:rPr>
        <w:t>Off-Trade</w:t>
      </w:r>
      <w:r>
        <w:rPr>
          <w:rFonts w:ascii="Arial" w:eastAsia="Times New Roman" w:hAnsi="Arial" w:cs="Arial"/>
          <w:sz w:val="20"/>
          <w:szCs w:val="20"/>
        </w:rPr>
        <w:t xml:space="preserve">, where we hold </w:t>
      </w:r>
      <w:r w:rsidR="00FE6BB6">
        <w:rPr>
          <w:rFonts w:ascii="Arial" w:eastAsia="Times New Roman" w:hAnsi="Arial" w:cs="Arial"/>
          <w:sz w:val="20"/>
          <w:szCs w:val="20"/>
        </w:rPr>
        <w:t xml:space="preserve">a </w:t>
      </w:r>
      <w:r>
        <w:rPr>
          <w:rFonts w:ascii="Arial" w:eastAsia="Times New Roman" w:hAnsi="Arial" w:cs="Arial"/>
          <w:sz w:val="20"/>
          <w:szCs w:val="20"/>
        </w:rPr>
        <w:t>39% value share,</w:t>
      </w:r>
      <w:r w:rsidRPr="007B593C">
        <w:rPr>
          <w:rFonts w:ascii="Arial" w:eastAsia="Times New Roman" w:hAnsi="Arial" w:cs="Arial"/>
          <w:sz w:val="20"/>
          <w:szCs w:val="20"/>
        </w:rPr>
        <w:t xml:space="preserve"> and</w:t>
      </w:r>
      <w:r w:rsidR="000B66E7">
        <w:rPr>
          <w:rFonts w:ascii="Arial" w:eastAsia="Times New Roman" w:hAnsi="Arial" w:cs="Arial"/>
          <w:sz w:val="20"/>
          <w:szCs w:val="20"/>
        </w:rPr>
        <w:t xml:space="preserve"> the</w:t>
      </w:r>
      <w:r w:rsidRPr="007B593C">
        <w:rPr>
          <w:rFonts w:ascii="Arial" w:eastAsia="Times New Roman" w:hAnsi="Arial" w:cs="Arial"/>
          <w:sz w:val="20"/>
          <w:szCs w:val="20"/>
        </w:rPr>
        <w:t xml:space="preserve"> </w:t>
      </w:r>
      <w:r w:rsidR="002330B5">
        <w:rPr>
          <w:rFonts w:ascii="Arial" w:eastAsia="Times New Roman" w:hAnsi="Arial" w:cs="Arial"/>
          <w:sz w:val="20"/>
          <w:szCs w:val="20"/>
        </w:rPr>
        <w:t>On-Trade</w:t>
      </w:r>
      <w:r w:rsidR="001F276C">
        <w:rPr>
          <w:rFonts w:ascii="Arial" w:eastAsia="Times New Roman" w:hAnsi="Arial" w:cs="Arial"/>
          <w:sz w:val="20"/>
          <w:szCs w:val="20"/>
        </w:rPr>
        <w:t>,</w:t>
      </w:r>
      <w:r>
        <w:rPr>
          <w:rFonts w:ascii="Arial" w:eastAsia="Times New Roman" w:hAnsi="Arial" w:cs="Arial"/>
          <w:sz w:val="20"/>
          <w:szCs w:val="20"/>
        </w:rPr>
        <w:t xml:space="preserve"> where we now hold </w:t>
      </w:r>
      <w:r w:rsidR="00FE6BB6">
        <w:rPr>
          <w:rFonts w:ascii="Arial" w:eastAsia="Times New Roman" w:hAnsi="Arial" w:cs="Arial"/>
          <w:sz w:val="20"/>
          <w:szCs w:val="20"/>
        </w:rPr>
        <w:t xml:space="preserve">a </w:t>
      </w:r>
      <w:r>
        <w:rPr>
          <w:rFonts w:ascii="Arial" w:eastAsia="Times New Roman" w:hAnsi="Arial" w:cs="Arial"/>
          <w:sz w:val="20"/>
          <w:szCs w:val="20"/>
        </w:rPr>
        <w:t>45% value share.  Over the last 15 years we have delivered against our strategy of creating clearly differentiated products with premium provenance, thus establishing a new premium segment of the mixer market. In doing so</w:t>
      </w:r>
      <w:r w:rsidR="000B66E7">
        <w:rPr>
          <w:rFonts w:ascii="Arial" w:eastAsia="Times New Roman" w:hAnsi="Arial" w:cs="Arial"/>
          <w:sz w:val="20"/>
          <w:szCs w:val="20"/>
        </w:rPr>
        <w:t>,</w:t>
      </w:r>
      <w:r>
        <w:rPr>
          <w:rFonts w:ascii="Arial" w:eastAsia="Times New Roman" w:hAnsi="Arial" w:cs="Arial"/>
          <w:sz w:val="20"/>
          <w:szCs w:val="20"/>
        </w:rPr>
        <w:t xml:space="preserve"> we have become the clear market leader of a category that has doubled in size over recent years to now be worth nearly £900m</w:t>
      </w:r>
      <w:r w:rsidR="005955D0">
        <w:rPr>
          <w:rFonts w:ascii="Arial" w:eastAsia="Times New Roman" w:hAnsi="Arial" w:cs="Arial"/>
          <w:sz w:val="20"/>
          <w:szCs w:val="20"/>
        </w:rPr>
        <w:t xml:space="preserve"> across both the Off and On-Trade.</w:t>
      </w:r>
    </w:p>
    <w:p w14:paraId="3CBC3A22" w14:textId="77777777" w:rsidR="00EA3540" w:rsidRDefault="00EA3540" w:rsidP="00EA3540">
      <w:pPr>
        <w:jc w:val="both"/>
        <w:rPr>
          <w:rFonts w:ascii="Arial" w:eastAsia="Times New Roman" w:hAnsi="Arial" w:cs="Arial"/>
          <w:sz w:val="20"/>
          <w:szCs w:val="20"/>
          <w:highlight w:val="yellow"/>
        </w:rPr>
      </w:pPr>
    </w:p>
    <w:p w14:paraId="1C0EEC37" w14:textId="6897EBF4" w:rsidR="00EA3540" w:rsidRPr="007B593C" w:rsidRDefault="00FE6BB6" w:rsidP="00EA3540">
      <w:pPr>
        <w:jc w:val="both"/>
        <w:rPr>
          <w:rFonts w:ascii="Arial" w:eastAsia="Times New Roman" w:hAnsi="Arial" w:cs="Arial"/>
          <w:sz w:val="20"/>
          <w:szCs w:val="20"/>
        </w:rPr>
      </w:pPr>
      <w:r>
        <w:rPr>
          <w:rFonts w:ascii="Arial" w:eastAsia="Times New Roman" w:hAnsi="Arial" w:cs="Arial"/>
          <w:sz w:val="20"/>
          <w:szCs w:val="20"/>
        </w:rPr>
        <w:t>As expected, f</w:t>
      </w:r>
      <w:r w:rsidR="00EA3540" w:rsidRPr="000026C7">
        <w:rPr>
          <w:rFonts w:ascii="Arial" w:eastAsia="Times New Roman" w:hAnsi="Arial" w:cs="Arial"/>
          <w:sz w:val="20"/>
          <w:szCs w:val="20"/>
        </w:rPr>
        <w:t>ollowing several years of exceptional growth</w:t>
      </w:r>
      <w:r w:rsidR="001F276C">
        <w:rPr>
          <w:rFonts w:ascii="Arial" w:eastAsia="Times New Roman" w:hAnsi="Arial" w:cs="Arial"/>
          <w:sz w:val="20"/>
          <w:szCs w:val="20"/>
        </w:rPr>
        <w:t>,</w:t>
      </w:r>
      <w:r w:rsidR="00EA3540" w:rsidRPr="000026C7">
        <w:rPr>
          <w:rFonts w:ascii="Arial" w:eastAsia="Times New Roman" w:hAnsi="Arial" w:cs="Arial"/>
          <w:sz w:val="20"/>
          <w:szCs w:val="20"/>
        </w:rPr>
        <w:t xml:space="preserve"> </w:t>
      </w:r>
      <w:r w:rsidR="00EA3540">
        <w:rPr>
          <w:rFonts w:ascii="Arial" w:eastAsia="Times New Roman" w:hAnsi="Arial" w:cs="Arial"/>
          <w:sz w:val="20"/>
          <w:szCs w:val="20"/>
        </w:rPr>
        <w:t>the first half of 2019 has</w:t>
      </w:r>
      <w:r w:rsidR="00EA3540" w:rsidRPr="000026C7">
        <w:rPr>
          <w:rFonts w:ascii="Arial" w:eastAsia="Times New Roman" w:hAnsi="Arial" w:cs="Arial"/>
          <w:sz w:val="20"/>
          <w:szCs w:val="20"/>
        </w:rPr>
        <w:t xml:space="preserve"> seen a moderation in both Fever-Tree’s and the wider UK mixer category’s underlying growth rates</w:t>
      </w:r>
      <w:r w:rsidR="00EA3540">
        <w:rPr>
          <w:rFonts w:ascii="Arial" w:eastAsia="Times New Roman" w:hAnsi="Arial" w:cs="Arial"/>
          <w:sz w:val="20"/>
          <w:szCs w:val="20"/>
        </w:rPr>
        <w:t>,</w:t>
      </w:r>
      <w:r w:rsidR="00EA3540" w:rsidRPr="000026C7">
        <w:rPr>
          <w:rFonts w:ascii="Arial" w:eastAsia="Times New Roman" w:hAnsi="Arial" w:cs="Arial"/>
          <w:sz w:val="20"/>
          <w:szCs w:val="20"/>
        </w:rPr>
        <w:t xml:space="preserve"> to what </w:t>
      </w:r>
      <w:r w:rsidR="00EA3540">
        <w:rPr>
          <w:rFonts w:ascii="Arial" w:eastAsia="Times New Roman" w:hAnsi="Arial" w:cs="Arial"/>
          <w:sz w:val="20"/>
          <w:szCs w:val="20"/>
        </w:rPr>
        <w:t xml:space="preserve">still </w:t>
      </w:r>
      <w:r w:rsidR="00EA3540" w:rsidRPr="000026C7">
        <w:rPr>
          <w:rFonts w:ascii="Arial" w:eastAsia="Times New Roman" w:hAnsi="Arial" w:cs="Arial"/>
          <w:sz w:val="20"/>
          <w:szCs w:val="20"/>
        </w:rPr>
        <w:t>remains strong levels</w:t>
      </w:r>
      <w:r w:rsidR="00EA3540">
        <w:rPr>
          <w:rFonts w:ascii="Arial" w:eastAsia="Times New Roman" w:hAnsi="Arial" w:cs="Arial"/>
          <w:sz w:val="20"/>
          <w:szCs w:val="20"/>
        </w:rPr>
        <w:t xml:space="preserve"> </w:t>
      </w:r>
      <w:r>
        <w:rPr>
          <w:rFonts w:ascii="Arial" w:eastAsia="Times New Roman" w:hAnsi="Arial" w:cs="Arial"/>
          <w:sz w:val="20"/>
          <w:szCs w:val="20"/>
        </w:rPr>
        <w:t>but off a</w:t>
      </w:r>
      <w:r w:rsidR="00EA3540">
        <w:rPr>
          <w:rFonts w:ascii="Arial" w:eastAsia="Times New Roman" w:hAnsi="Arial" w:cs="Arial"/>
          <w:sz w:val="20"/>
          <w:szCs w:val="20"/>
        </w:rPr>
        <w:t xml:space="preserve"> higher base</w:t>
      </w:r>
      <w:r w:rsidR="00EA3540" w:rsidRPr="000026C7">
        <w:rPr>
          <w:rFonts w:ascii="Arial" w:eastAsia="Times New Roman" w:hAnsi="Arial" w:cs="Arial"/>
          <w:sz w:val="20"/>
          <w:szCs w:val="20"/>
        </w:rPr>
        <w:t xml:space="preserve">.  </w:t>
      </w:r>
      <w:r w:rsidR="00EA3540">
        <w:rPr>
          <w:rFonts w:ascii="Arial" w:eastAsia="Times New Roman" w:hAnsi="Arial" w:cs="Arial"/>
          <w:sz w:val="20"/>
          <w:szCs w:val="20"/>
        </w:rPr>
        <w:t xml:space="preserve">In addition, as has been widely reported across many sectors, the poor weather in the </w:t>
      </w:r>
      <w:r w:rsidR="005955D0">
        <w:rPr>
          <w:rFonts w:ascii="Arial" w:eastAsia="Times New Roman" w:hAnsi="Arial" w:cs="Arial"/>
          <w:sz w:val="20"/>
          <w:szCs w:val="20"/>
        </w:rPr>
        <w:t>p</w:t>
      </w:r>
      <w:r w:rsidR="00EA3540">
        <w:rPr>
          <w:rFonts w:ascii="Arial" w:eastAsia="Times New Roman" w:hAnsi="Arial" w:cs="Arial"/>
          <w:sz w:val="20"/>
          <w:szCs w:val="20"/>
        </w:rPr>
        <w:t xml:space="preserve">ast quarter </w:t>
      </w:r>
      <w:r w:rsidR="00EA3540" w:rsidRPr="000026C7">
        <w:rPr>
          <w:rFonts w:ascii="Arial" w:eastAsia="Times New Roman" w:hAnsi="Arial" w:cs="Arial"/>
          <w:sz w:val="20"/>
          <w:szCs w:val="20"/>
        </w:rPr>
        <w:t>has had a dampening effect on growth rates</w:t>
      </w:r>
      <w:r w:rsidR="00EA3540">
        <w:rPr>
          <w:rFonts w:ascii="Arial" w:eastAsia="Times New Roman" w:hAnsi="Arial" w:cs="Arial"/>
          <w:sz w:val="20"/>
          <w:szCs w:val="20"/>
        </w:rPr>
        <w:t xml:space="preserve"> in the short term</w:t>
      </w:r>
      <w:r w:rsidR="00EA3540" w:rsidRPr="000026C7">
        <w:rPr>
          <w:rFonts w:ascii="Arial" w:eastAsia="Times New Roman" w:hAnsi="Arial" w:cs="Arial"/>
          <w:sz w:val="20"/>
          <w:szCs w:val="20"/>
        </w:rPr>
        <w:t xml:space="preserve"> as we lap what was a</w:t>
      </w:r>
      <w:r w:rsidR="00EA3540">
        <w:rPr>
          <w:rFonts w:ascii="Arial" w:eastAsia="Times New Roman" w:hAnsi="Arial" w:cs="Arial"/>
          <w:sz w:val="20"/>
          <w:szCs w:val="20"/>
        </w:rPr>
        <w:t xml:space="preserve">n incredibly strong </w:t>
      </w:r>
      <w:r w:rsidR="00EA3540" w:rsidRPr="000026C7">
        <w:rPr>
          <w:rFonts w:ascii="Arial" w:eastAsia="Times New Roman" w:hAnsi="Arial" w:cs="Arial"/>
          <w:sz w:val="20"/>
          <w:szCs w:val="20"/>
        </w:rPr>
        <w:t>period of trading in summer 2018</w:t>
      </w:r>
      <w:r w:rsidR="00EA3540">
        <w:rPr>
          <w:rFonts w:ascii="Arial" w:eastAsia="Times New Roman" w:hAnsi="Arial" w:cs="Arial"/>
          <w:sz w:val="20"/>
          <w:szCs w:val="20"/>
        </w:rPr>
        <w:t>. However, despite this</w:t>
      </w:r>
      <w:r w:rsidR="00EA3540" w:rsidRPr="007B593C">
        <w:rPr>
          <w:rFonts w:ascii="Arial" w:eastAsia="Times New Roman" w:hAnsi="Arial" w:cs="Arial"/>
          <w:sz w:val="20"/>
          <w:szCs w:val="20"/>
        </w:rPr>
        <w:t>, the region delivered revenue of £</w:t>
      </w:r>
      <w:r w:rsidR="00EA3540">
        <w:rPr>
          <w:rFonts w:ascii="Arial" w:eastAsia="Times New Roman" w:hAnsi="Arial" w:cs="Arial"/>
          <w:sz w:val="20"/>
          <w:szCs w:val="20"/>
        </w:rPr>
        <w:t>60.7</w:t>
      </w:r>
      <w:r w:rsidR="00EA3540" w:rsidRPr="007B593C">
        <w:rPr>
          <w:rFonts w:ascii="Arial" w:eastAsia="Times New Roman" w:hAnsi="Arial" w:cs="Arial"/>
          <w:sz w:val="20"/>
          <w:szCs w:val="20"/>
        </w:rPr>
        <w:t xml:space="preserve">m, up </w:t>
      </w:r>
      <w:r w:rsidR="00EA3540">
        <w:rPr>
          <w:rFonts w:ascii="Arial" w:eastAsia="Times New Roman" w:hAnsi="Arial" w:cs="Arial"/>
          <w:sz w:val="20"/>
          <w:szCs w:val="20"/>
        </w:rPr>
        <w:t>5</w:t>
      </w:r>
      <w:r w:rsidR="00EA3540" w:rsidRPr="007B593C">
        <w:rPr>
          <w:rFonts w:ascii="Arial" w:eastAsia="Times New Roman" w:hAnsi="Arial" w:cs="Arial"/>
          <w:sz w:val="20"/>
          <w:szCs w:val="20"/>
        </w:rPr>
        <w:t xml:space="preserve">% compared to the first half of 2018. </w:t>
      </w:r>
      <w:r w:rsidR="00EA3540">
        <w:rPr>
          <w:rFonts w:ascii="Arial" w:eastAsia="Times New Roman" w:hAnsi="Arial" w:cs="Arial"/>
          <w:sz w:val="20"/>
          <w:szCs w:val="20"/>
        </w:rPr>
        <w:t xml:space="preserve"> </w:t>
      </w:r>
    </w:p>
    <w:p w14:paraId="0388C6DC" w14:textId="77777777" w:rsidR="00EA3540" w:rsidRPr="007B593C" w:rsidRDefault="00EA3540" w:rsidP="00EA3540">
      <w:pPr>
        <w:jc w:val="both"/>
        <w:rPr>
          <w:rFonts w:ascii="Arial" w:eastAsia="Times New Roman" w:hAnsi="Arial" w:cs="Arial"/>
          <w:sz w:val="20"/>
          <w:szCs w:val="20"/>
        </w:rPr>
      </w:pPr>
    </w:p>
    <w:p w14:paraId="3141A756" w14:textId="09E5186D" w:rsidR="00EA3540" w:rsidRDefault="00EA3540" w:rsidP="00EA3540">
      <w:pPr>
        <w:jc w:val="both"/>
        <w:rPr>
          <w:rFonts w:ascii="Arial" w:eastAsia="Times New Roman" w:hAnsi="Arial" w:cs="Arial"/>
          <w:sz w:val="20"/>
          <w:szCs w:val="20"/>
        </w:rPr>
      </w:pPr>
      <w:r w:rsidRPr="007B593C">
        <w:rPr>
          <w:rFonts w:ascii="Arial" w:eastAsia="Times New Roman" w:hAnsi="Arial" w:cs="Arial"/>
          <w:sz w:val="20"/>
          <w:szCs w:val="20"/>
        </w:rPr>
        <w:t xml:space="preserve">As we have stated previously, we are widely penetrated across </w:t>
      </w:r>
      <w:r>
        <w:rPr>
          <w:rFonts w:ascii="Arial" w:eastAsia="Times New Roman" w:hAnsi="Arial" w:cs="Arial"/>
          <w:sz w:val="20"/>
          <w:szCs w:val="20"/>
        </w:rPr>
        <w:t xml:space="preserve">the </w:t>
      </w:r>
      <w:r w:rsidR="002330B5">
        <w:rPr>
          <w:rFonts w:ascii="Arial" w:eastAsia="Times New Roman" w:hAnsi="Arial" w:cs="Arial"/>
          <w:sz w:val="20"/>
          <w:szCs w:val="20"/>
        </w:rPr>
        <w:t>Off-Trade</w:t>
      </w:r>
      <w:r w:rsidR="00BF4340">
        <w:rPr>
          <w:rFonts w:ascii="Arial" w:eastAsia="Times New Roman" w:hAnsi="Arial" w:cs="Arial"/>
          <w:sz w:val="20"/>
          <w:szCs w:val="20"/>
        </w:rPr>
        <w:t>,</w:t>
      </w:r>
      <w:r>
        <w:rPr>
          <w:rFonts w:ascii="Arial" w:eastAsia="Times New Roman" w:hAnsi="Arial" w:cs="Arial"/>
          <w:sz w:val="20"/>
          <w:szCs w:val="20"/>
        </w:rPr>
        <w:t xml:space="preserve"> </w:t>
      </w:r>
      <w:r w:rsidR="00FE6BB6">
        <w:rPr>
          <w:rFonts w:ascii="Arial" w:eastAsia="Times New Roman" w:hAnsi="Arial" w:cs="Arial"/>
          <w:sz w:val="20"/>
          <w:szCs w:val="20"/>
        </w:rPr>
        <w:t xml:space="preserve">but </w:t>
      </w:r>
      <w:r>
        <w:rPr>
          <w:rFonts w:ascii="Arial" w:eastAsia="Times New Roman" w:hAnsi="Arial" w:cs="Arial"/>
          <w:sz w:val="20"/>
          <w:szCs w:val="20"/>
        </w:rPr>
        <w:t>in the period continued to grow our distribution, ending the first half</w:t>
      </w:r>
      <w:r w:rsidRPr="007B593C">
        <w:rPr>
          <w:rFonts w:ascii="Arial" w:eastAsia="Times New Roman" w:hAnsi="Arial" w:cs="Arial"/>
          <w:sz w:val="20"/>
          <w:szCs w:val="20"/>
        </w:rPr>
        <w:t xml:space="preserve"> </w:t>
      </w:r>
      <w:r>
        <w:rPr>
          <w:rFonts w:ascii="Arial" w:eastAsia="Times New Roman" w:hAnsi="Arial" w:cs="Arial"/>
          <w:sz w:val="20"/>
          <w:szCs w:val="20"/>
        </w:rPr>
        <w:t xml:space="preserve">with over 62,000 distribution points.  </w:t>
      </w:r>
      <w:r w:rsidRPr="007B593C">
        <w:rPr>
          <w:rFonts w:ascii="Arial" w:eastAsia="Times New Roman" w:hAnsi="Arial" w:cs="Arial"/>
          <w:sz w:val="20"/>
          <w:szCs w:val="20"/>
        </w:rPr>
        <w:t xml:space="preserve">Our range of flavoured tonics </w:t>
      </w:r>
      <w:r w:rsidRPr="00945556">
        <w:rPr>
          <w:rFonts w:ascii="Arial" w:eastAsia="Times New Roman" w:hAnsi="Arial" w:cs="Arial"/>
          <w:sz w:val="20"/>
          <w:szCs w:val="20"/>
        </w:rPr>
        <w:t>now account</w:t>
      </w:r>
      <w:r w:rsidR="00E82B3F">
        <w:rPr>
          <w:rFonts w:ascii="Arial" w:eastAsia="Times New Roman" w:hAnsi="Arial" w:cs="Arial"/>
          <w:sz w:val="20"/>
          <w:szCs w:val="20"/>
        </w:rPr>
        <w:t>s</w:t>
      </w:r>
      <w:r w:rsidRPr="00945556">
        <w:rPr>
          <w:rFonts w:ascii="Arial" w:eastAsia="Times New Roman" w:hAnsi="Arial" w:cs="Arial"/>
          <w:sz w:val="20"/>
          <w:szCs w:val="20"/>
        </w:rPr>
        <w:t xml:space="preserve"> for over half of our total tonic sales at retail</w:t>
      </w:r>
      <w:r w:rsidR="00E82B3F">
        <w:rPr>
          <w:rFonts w:ascii="Arial" w:eastAsia="Times New Roman" w:hAnsi="Arial" w:cs="Arial"/>
          <w:sz w:val="20"/>
          <w:szCs w:val="20"/>
        </w:rPr>
        <w:t>,</w:t>
      </w:r>
      <w:r>
        <w:rPr>
          <w:rFonts w:ascii="Arial" w:eastAsia="Times New Roman" w:hAnsi="Arial" w:cs="Arial"/>
          <w:sz w:val="20"/>
          <w:szCs w:val="20"/>
        </w:rPr>
        <w:t xml:space="preserve"> and alongside the ongoing evolution of the UK gin category, continue</w:t>
      </w:r>
      <w:r w:rsidR="00E82B3F">
        <w:rPr>
          <w:rFonts w:ascii="Arial" w:eastAsia="Times New Roman" w:hAnsi="Arial" w:cs="Arial"/>
          <w:sz w:val="20"/>
          <w:szCs w:val="20"/>
        </w:rPr>
        <w:t>s</w:t>
      </w:r>
      <w:r>
        <w:rPr>
          <w:rFonts w:ascii="Arial" w:eastAsia="Times New Roman" w:hAnsi="Arial" w:cs="Arial"/>
          <w:sz w:val="20"/>
          <w:szCs w:val="20"/>
        </w:rPr>
        <w:t xml:space="preserve"> to stimulate </w:t>
      </w:r>
      <w:r w:rsidRPr="00945556">
        <w:rPr>
          <w:rFonts w:ascii="Arial" w:eastAsia="Times New Roman" w:hAnsi="Arial" w:cs="Arial"/>
          <w:sz w:val="20"/>
          <w:szCs w:val="20"/>
        </w:rPr>
        <w:t xml:space="preserve">consumers’ </w:t>
      </w:r>
      <w:r>
        <w:rPr>
          <w:rFonts w:ascii="Arial" w:eastAsia="Times New Roman" w:hAnsi="Arial" w:cs="Arial"/>
          <w:sz w:val="20"/>
          <w:szCs w:val="20"/>
        </w:rPr>
        <w:t>appetite for exploring</w:t>
      </w:r>
      <w:r w:rsidRPr="00945556">
        <w:rPr>
          <w:rFonts w:ascii="Arial" w:eastAsia="Times New Roman" w:hAnsi="Arial" w:cs="Arial"/>
          <w:sz w:val="20"/>
          <w:szCs w:val="20"/>
        </w:rPr>
        <w:t xml:space="preserve"> different flavour combinations</w:t>
      </w:r>
      <w:r>
        <w:rPr>
          <w:rFonts w:ascii="Arial" w:eastAsia="Times New Roman" w:hAnsi="Arial" w:cs="Arial"/>
          <w:sz w:val="20"/>
          <w:szCs w:val="20"/>
        </w:rPr>
        <w:t xml:space="preserve">. </w:t>
      </w:r>
      <w:r w:rsidRPr="007B593C">
        <w:rPr>
          <w:rFonts w:ascii="Arial" w:eastAsia="Times New Roman" w:hAnsi="Arial" w:cs="Arial"/>
          <w:sz w:val="20"/>
          <w:szCs w:val="20"/>
        </w:rPr>
        <w:t xml:space="preserve">The first half also saw the launch of our first “ready to drink” </w:t>
      </w:r>
      <w:r>
        <w:rPr>
          <w:rFonts w:ascii="Arial" w:eastAsia="Times New Roman" w:hAnsi="Arial" w:cs="Arial"/>
          <w:sz w:val="20"/>
          <w:szCs w:val="20"/>
        </w:rPr>
        <w:t xml:space="preserve">gin and tonic </w:t>
      </w:r>
      <w:r w:rsidRPr="007B593C">
        <w:rPr>
          <w:rFonts w:ascii="Arial" w:eastAsia="Times New Roman" w:hAnsi="Arial" w:cs="Arial"/>
          <w:sz w:val="20"/>
          <w:szCs w:val="20"/>
        </w:rPr>
        <w:t xml:space="preserve">products. </w:t>
      </w:r>
      <w:r>
        <w:rPr>
          <w:rFonts w:ascii="Arial" w:eastAsia="Times New Roman" w:hAnsi="Arial" w:cs="Arial"/>
          <w:sz w:val="20"/>
          <w:szCs w:val="20"/>
        </w:rPr>
        <w:t>C</w:t>
      </w:r>
      <w:r w:rsidRPr="007B593C">
        <w:rPr>
          <w:rFonts w:ascii="Arial" w:eastAsia="Times New Roman" w:hAnsi="Arial" w:cs="Arial"/>
          <w:sz w:val="20"/>
          <w:szCs w:val="20"/>
        </w:rPr>
        <w:t xml:space="preserve">omprising three variants and </w:t>
      </w:r>
      <w:r>
        <w:rPr>
          <w:rFonts w:ascii="Arial" w:eastAsia="Times New Roman" w:hAnsi="Arial" w:cs="Arial"/>
          <w:sz w:val="20"/>
          <w:szCs w:val="20"/>
        </w:rPr>
        <w:t>paired with</w:t>
      </w:r>
      <w:r w:rsidRPr="007B593C">
        <w:rPr>
          <w:rFonts w:ascii="Arial" w:eastAsia="Times New Roman" w:hAnsi="Arial" w:cs="Arial"/>
          <w:sz w:val="20"/>
          <w:szCs w:val="20"/>
        </w:rPr>
        <w:t xml:space="preserve"> </w:t>
      </w:r>
      <w:r w:rsidR="00FE6BB6">
        <w:rPr>
          <w:rFonts w:ascii="Arial" w:eastAsia="Times New Roman" w:hAnsi="Arial" w:cs="Arial"/>
          <w:sz w:val="20"/>
          <w:szCs w:val="20"/>
        </w:rPr>
        <w:t xml:space="preserve">craft </w:t>
      </w:r>
      <w:r w:rsidRPr="007B593C">
        <w:rPr>
          <w:rFonts w:ascii="Arial" w:eastAsia="Times New Roman" w:hAnsi="Arial" w:cs="Arial"/>
          <w:sz w:val="20"/>
          <w:szCs w:val="20"/>
        </w:rPr>
        <w:t xml:space="preserve">gins that were created exclusively for Fever-Tree, we believe </w:t>
      </w:r>
      <w:r>
        <w:rPr>
          <w:rFonts w:ascii="Arial" w:eastAsia="Times New Roman" w:hAnsi="Arial" w:cs="Arial"/>
          <w:sz w:val="20"/>
          <w:szCs w:val="20"/>
        </w:rPr>
        <w:t xml:space="preserve">it is a </w:t>
      </w:r>
      <w:r w:rsidRPr="007B593C">
        <w:rPr>
          <w:rFonts w:ascii="Arial" w:eastAsia="Times New Roman" w:hAnsi="Arial" w:cs="Arial"/>
          <w:sz w:val="20"/>
          <w:szCs w:val="20"/>
        </w:rPr>
        <w:t xml:space="preserve">category </w:t>
      </w:r>
      <w:r>
        <w:rPr>
          <w:rFonts w:ascii="Arial" w:eastAsia="Times New Roman" w:hAnsi="Arial" w:cs="Arial"/>
          <w:sz w:val="20"/>
          <w:szCs w:val="20"/>
        </w:rPr>
        <w:t>with potential over the longer term.</w:t>
      </w:r>
    </w:p>
    <w:p w14:paraId="3EBD57AC" w14:textId="77777777" w:rsidR="00EA3540" w:rsidRPr="00320770" w:rsidRDefault="00EA3540" w:rsidP="00EA3540">
      <w:pPr>
        <w:jc w:val="both"/>
        <w:rPr>
          <w:rFonts w:ascii="Arial" w:eastAsia="Times New Roman" w:hAnsi="Arial" w:cs="Arial"/>
          <w:sz w:val="20"/>
          <w:szCs w:val="20"/>
          <w:highlight w:val="yellow"/>
        </w:rPr>
      </w:pPr>
    </w:p>
    <w:p w14:paraId="00D93BA1" w14:textId="1C7005B6" w:rsidR="00EA3540" w:rsidRDefault="00EA3540" w:rsidP="00EA3540">
      <w:pPr>
        <w:jc w:val="both"/>
        <w:rPr>
          <w:rFonts w:ascii="Arial" w:eastAsia="Times New Roman" w:hAnsi="Arial" w:cs="Arial"/>
          <w:sz w:val="20"/>
          <w:szCs w:val="20"/>
        </w:rPr>
      </w:pPr>
      <w:r w:rsidRPr="00974033">
        <w:rPr>
          <w:rFonts w:ascii="Arial" w:eastAsia="Times New Roman" w:hAnsi="Arial" w:cs="Arial"/>
          <w:sz w:val="20"/>
          <w:szCs w:val="20"/>
        </w:rPr>
        <w:t xml:space="preserve">In the </w:t>
      </w:r>
      <w:r w:rsidR="002330B5">
        <w:rPr>
          <w:rFonts w:ascii="Arial" w:eastAsia="Times New Roman" w:hAnsi="Arial" w:cs="Arial"/>
          <w:sz w:val="20"/>
          <w:szCs w:val="20"/>
        </w:rPr>
        <w:t>On-Trade</w:t>
      </w:r>
      <w:r w:rsidRPr="00974033">
        <w:rPr>
          <w:rFonts w:ascii="Arial" w:eastAsia="Times New Roman" w:hAnsi="Arial" w:cs="Arial"/>
          <w:sz w:val="20"/>
          <w:szCs w:val="20"/>
        </w:rPr>
        <w:t>, we</w:t>
      </w:r>
      <w:r>
        <w:rPr>
          <w:rFonts w:ascii="Arial" w:eastAsia="Times New Roman" w:hAnsi="Arial" w:cs="Arial"/>
          <w:sz w:val="20"/>
          <w:szCs w:val="20"/>
        </w:rPr>
        <w:t xml:space="preserve"> have </w:t>
      </w:r>
      <w:r w:rsidRPr="00974033">
        <w:rPr>
          <w:rFonts w:ascii="Arial" w:eastAsia="Times New Roman" w:hAnsi="Arial" w:cs="Arial"/>
          <w:sz w:val="20"/>
          <w:szCs w:val="20"/>
        </w:rPr>
        <w:t>seen a good performance in the first hal</w:t>
      </w:r>
      <w:r>
        <w:rPr>
          <w:rFonts w:ascii="Arial" w:eastAsia="Times New Roman" w:hAnsi="Arial" w:cs="Arial"/>
          <w:sz w:val="20"/>
          <w:szCs w:val="20"/>
        </w:rPr>
        <w:t xml:space="preserve">f, during which time we have become firmly established as no. 1 mixer by value </w:t>
      </w:r>
      <w:r w:rsidRPr="00873755">
        <w:rPr>
          <w:rFonts w:ascii="Arial" w:eastAsia="Times New Roman" w:hAnsi="Arial" w:cs="Arial"/>
          <w:sz w:val="20"/>
          <w:szCs w:val="20"/>
        </w:rPr>
        <w:t>and volume</w:t>
      </w:r>
      <w:r w:rsidR="00BF4340">
        <w:rPr>
          <w:rFonts w:ascii="Arial" w:eastAsia="Times New Roman" w:hAnsi="Arial" w:cs="Arial"/>
          <w:sz w:val="20"/>
          <w:szCs w:val="20"/>
        </w:rPr>
        <w:t>,</w:t>
      </w:r>
      <w:r>
        <w:rPr>
          <w:rFonts w:ascii="Arial" w:eastAsia="Times New Roman" w:hAnsi="Arial" w:cs="Arial"/>
          <w:sz w:val="20"/>
          <w:szCs w:val="20"/>
        </w:rPr>
        <w:t xml:space="preserve"> with a 45% share of the category, a significant achievement. The Group secured further</w:t>
      </w:r>
      <w:r w:rsidRPr="00974033">
        <w:rPr>
          <w:rFonts w:ascii="Arial" w:eastAsia="Times New Roman" w:hAnsi="Arial" w:cs="Arial"/>
          <w:sz w:val="20"/>
          <w:szCs w:val="20"/>
        </w:rPr>
        <w:t xml:space="preserve"> distribution gains as we continue</w:t>
      </w:r>
      <w:r>
        <w:rPr>
          <w:rFonts w:ascii="Arial" w:eastAsia="Times New Roman" w:hAnsi="Arial" w:cs="Arial"/>
          <w:sz w:val="20"/>
          <w:szCs w:val="20"/>
        </w:rPr>
        <w:t>d to</w:t>
      </w:r>
      <w:r w:rsidRPr="00974033">
        <w:rPr>
          <w:rFonts w:ascii="Arial" w:eastAsia="Times New Roman" w:hAnsi="Arial" w:cs="Arial"/>
          <w:sz w:val="20"/>
          <w:szCs w:val="20"/>
        </w:rPr>
        <w:t xml:space="preserve"> </w:t>
      </w:r>
      <w:r>
        <w:rPr>
          <w:rFonts w:ascii="Arial" w:eastAsia="Times New Roman" w:hAnsi="Arial" w:cs="Arial"/>
          <w:sz w:val="20"/>
          <w:szCs w:val="20"/>
        </w:rPr>
        <w:t xml:space="preserve">win new accounts across the UK. In addition, we have had success in not only broadening our range in our more established accounts but have focused on working closely with our key accounts to drive incremental sales. While our pioneering G&amp;T menus continue to prove very popular, we have also introduced broader long mixed drinks menus including </w:t>
      </w:r>
      <w:r w:rsidR="00FE6BB6">
        <w:rPr>
          <w:rFonts w:ascii="Arial" w:eastAsia="Times New Roman" w:hAnsi="Arial" w:cs="Arial"/>
          <w:sz w:val="20"/>
          <w:szCs w:val="20"/>
        </w:rPr>
        <w:t>s</w:t>
      </w:r>
      <w:r>
        <w:rPr>
          <w:rFonts w:ascii="Arial" w:eastAsia="Times New Roman" w:hAnsi="Arial" w:cs="Arial"/>
          <w:sz w:val="20"/>
          <w:szCs w:val="20"/>
        </w:rPr>
        <w:t xml:space="preserve">pritz serves, reflecting the growing popularity of lower alcohol drinks. </w:t>
      </w:r>
    </w:p>
    <w:p w14:paraId="28D1304F" w14:textId="77777777" w:rsidR="00EA3540" w:rsidRPr="00320770" w:rsidRDefault="00EA3540" w:rsidP="00EA3540">
      <w:pPr>
        <w:jc w:val="both"/>
        <w:rPr>
          <w:rFonts w:ascii="Arial" w:eastAsia="Times New Roman" w:hAnsi="Arial" w:cs="Arial"/>
          <w:sz w:val="20"/>
          <w:szCs w:val="20"/>
          <w:highlight w:val="yellow"/>
        </w:rPr>
      </w:pPr>
    </w:p>
    <w:p w14:paraId="7C370F9A" w14:textId="77777777" w:rsidR="00EA3540" w:rsidRDefault="00EA3540" w:rsidP="00EA3540">
      <w:pPr>
        <w:jc w:val="both"/>
        <w:rPr>
          <w:rFonts w:ascii="Arial" w:eastAsia="Times New Roman" w:hAnsi="Arial" w:cs="Arial"/>
          <w:sz w:val="20"/>
          <w:szCs w:val="20"/>
        </w:rPr>
      </w:pPr>
      <w:r>
        <w:rPr>
          <w:rFonts w:ascii="Arial" w:eastAsia="Times New Roman" w:hAnsi="Arial" w:cs="Arial"/>
          <w:sz w:val="20"/>
          <w:szCs w:val="20"/>
        </w:rPr>
        <w:t xml:space="preserve">The Group has built a very strong position in what is our largest region. The Group’s market leading position across both channels, </w:t>
      </w:r>
      <w:r w:rsidRPr="00E048D1">
        <w:rPr>
          <w:rFonts w:ascii="Arial" w:eastAsia="Times New Roman" w:hAnsi="Arial" w:cs="Arial"/>
          <w:sz w:val="20"/>
          <w:szCs w:val="20"/>
        </w:rPr>
        <w:t>unrivalled support, relationships and expertise</w:t>
      </w:r>
      <w:r>
        <w:rPr>
          <w:rFonts w:ascii="Arial" w:eastAsia="Times New Roman" w:hAnsi="Arial" w:cs="Arial"/>
          <w:sz w:val="20"/>
          <w:szCs w:val="20"/>
        </w:rPr>
        <w:t>,</w:t>
      </w:r>
      <w:r w:rsidRPr="00E048D1">
        <w:rPr>
          <w:rFonts w:ascii="Arial" w:eastAsia="Times New Roman" w:hAnsi="Arial" w:cs="Arial"/>
          <w:sz w:val="20"/>
          <w:szCs w:val="20"/>
        </w:rPr>
        <w:t xml:space="preserve"> alongside the brand’s now established bar call with consumers means we are extremely well positioned to drive </w:t>
      </w:r>
      <w:r>
        <w:rPr>
          <w:rFonts w:ascii="Arial" w:eastAsia="Times New Roman" w:hAnsi="Arial" w:cs="Arial"/>
          <w:sz w:val="20"/>
          <w:szCs w:val="20"/>
        </w:rPr>
        <w:t xml:space="preserve">further </w:t>
      </w:r>
      <w:r w:rsidRPr="00E048D1">
        <w:rPr>
          <w:rFonts w:ascii="Arial" w:eastAsia="Times New Roman" w:hAnsi="Arial" w:cs="Arial"/>
          <w:sz w:val="20"/>
          <w:szCs w:val="20"/>
        </w:rPr>
        <w:t xml:space="preserve">growth in </w:t>
      </w:r>
      <w:r>
        <w:rPr>
          <w:rFonts w:ascii="Arial" w:eastAsia="Times New Roman" w:hAnsi="Arial" w:cs="Arial"/>
          <w:sz w:val="20"/>
          <w:szCs w:val="20"/>
        </w:rPr>
        <w:t xml:space="preserve">the UK </w:t>
      </w:r>
      <w:r w:rsidRPr="00E048D1">
        <w:rPr>
          <w:rFonts w:ascii="Arial" w:eastAsia="Times New Roman" w:hAnsi="Arial" w:cs="Arial"/>
          <w:sz w:val="20"/>
          <w:szCs w:val="20"/>
        </w:rPr>
        <w:t>as drinking habits continue to evolve</w:t>
      </w:r>
      <w:r>
        <w:rPr>
          <w:rFonts w:ascii="Arial" w:eastAsia="Times New Roman" w:hAnsi="Arial" w:cs="Arial"/>
          <w:sz w:val="20"/>
          <w:szCs w:val="20"/>
        </w:rPr>
        <w:t xml:space="preserve"> and momentum begins to build in wider premium long mixed drink serves alongside the well-established G&amp;T trend.</w:t>
      </w:r>
    </w:p>
    <w:p w14:paraId="675E8888" w14:textId="77777777" w:rsidR="00EA3540" w:rsidRDefault="00EA3540" w:rsidP="00EA3540">
      <w:pPr>
        <w:jc w:val="both"/>
        <w:rPr>
          <w:rFonts w:ascii="Arial" w:eastAsia="Times New Roman" w:hAnsi="Arial" w:cs="Arial"/>
          <w:sz w:val="20"/>
          <w:szCs w:val="20"/>
        </w:rPr>
      </w:pPr>
    </w:p>
    <w:p w14:paraId="30A8BC1F" w14:textId="77777777" w:rsidR="00EA3540" w:rsidRDefault="00EA3540" w:rsidP="00EA3540">
      <w:pPr>
        <w:jc w:val="both"/>
        <w:rPr>
          <w:rFonts w:ascii="Arial" w:eastAsia="Times New Roman" w:hAnsi="Arial" w:cs="Arial"/>
          <w:sz w:val="20"/>
          <w:szCs w:val="20"/>
        </w:rPr>
      </w:pPr>
    </w:p>
    <w:p w14:paraId="5445CE9F" w14:textId="77777777" w:rsidR="00EA3540" w:rsidRDefault="00EA3540" w:rsidP="00EA3540">
      <w:pPr>
        <w:jc w:val="both"/>
        <w:rPr>
          <w:rFonts w:ascii="Arial" w:hAnsi="Arial" w:cs="Arial"/>
          <w:sz w:val="20"/>
          <w:szCs w:val="20"/>
        </w:rPr>
      </w:pPr>
      <w:r w:rsidRPr="001F5294">
        <w:rPr>
          <w:rFonts w:ascii="Arial" w:hAnsi="Arial" w:cs="Arial"/>
          <w:b/>
          <w:sz w:val="20"/>
          <w:szCs w:val="20"/>
        </w:rPr>
        <w:t>USA</w:t>
      </w:r>
    </w:p>
    <w:p w14:paraId="1514900B" w14:textId="77777777" w:rsidR="00EA3540" w:rsidRDefault="00EA3540" w:rsidP="00EA3540">
      <w:pPr>
        <w:jc w:val="both"/>
        <w:rPr>
          <w:rFonts w:ascii="Arial" w:hAnsi="Arial" w:cs="Arial"/>
          <w:sz w:val="20"/>
          <w:szCs w:val="20"/>
        </w:rPr>
      </w:pPr>
    </w:p>
    <w:p w14:paraId="50E6A726" w14:textId="2743E02F" w:rsidR="00EA3540" w:rsidRPr="00292F20" w:rsidRDefault="00EA3540" w:rsidP="00EA3540">
      <w:pPr>
        <w:jc w:val="both"/>
        <w:rPr>
          <w:rFonts w:ascii="Arial" w:hAnsi="Arial" w:cs="Arial"/>
          <w:sz w:val="20"/>
          <w:szCs w:val="20"/>
        </w:rPr>
      </w:pPr>
      <w:r w:rsidRPr="00292F20">
        <w:rPr>
          <w:rFonts w:ascii="Arial" w:hAnsi="Arial" w:cs="Arial"/>
          <w:sz w:val="20"/>
          <w:szCs w:val="20"/>
        </w:rPr>
        <w:t>We have delivered a</w:t>
      </w:r>
      <w:r>
        <w:rPr>
          <w:rFonts w:ascii="Arial" w:hAnsi="Arial" w:cs="Arial"/>
          <w:sz w:val="20"/>
          <w:szCs w:val="20"/>
        </w:rPr>
        <w:t xml:space="preserve"> strong </w:t>
      </w:r>
      <w:r w:rsidRPr="00292F20">
        <w:rPr>
          <w:rFonts w:ascii="Arial" w:hAnsi="Arial" w:cs="Arial"/>
          <w:sz w:val="20"/>
          <w:szCs w:val="20"/>
        </w:rPr>
        <w:t>performance in the US in the first half of 2019</w:t>
      </w:r>
      <w:r>
        <w:rPr>
          <w:rFonts w:ascii="Arial" w:hAnsi="Arial" w:cs="Arial"/>
          <w:sz w:val="20"/>
          <w:szCs w:val="20"/>
        </w:rPr>
        <w:t>,</w:t>
      </w:r>
      <w:r w:rsidRPr="00292F20">
        <w:rPr>
          <w:rFonts w:ascii="Arial" w:hAnsi="Arial" w:cs="Arial"/>
          <w:sz w:val="20"/>
          <w:szCs w:val="20"/>
        </w:rPr>
        <w:t xml:space="preserve"> </w:t>
      </w:r>
      <w:r>
        <w:rPr>
          <w:rFonts w:ascii="Arial" w:hAnsi="Arial" w:cs="Arial"/>
          <w:sz w:val="20"/>
          <w:szCs w:val="20"/>
        </w:rPr>
        <w:t xml:space="preserve">building on the operational changes made by the team since </w:t>
      </w:r>
      <w:r w:rsidR="00F672DF">
        <w:rPr>
          <w:rFonts w:ascii="Arial" w:hAnsi="Arial" w:cs="Arial"/>
          <w:sz w:val="20"/>
          <w:szCs w:val="20"/>
        </w:rPr>
        <w:t>taking direct control of our operations in June 2018</w:t>
      </w:r>
      <w:r>
        <w:rPr>
          <w:rFonts w:ascii="Arial" w:hAnsi="Arial" w:cs="Arial"/>
          <w:sz w:val="20"/>
          <w:szCs w:val="20"/>
        </w:rPr>
        <w:t>.</w:t>
      </w:r>
    </w:p>
    <w:p w14:paraId="3BA73CA3" w14:textId="77777777" w:rsidR="00EA3540" w:rsidRPr="00292F20" w:rsidRDefault="00EA3540" w:rsidP="00EA3540">
      <w:pPr>
        <w:jc w:val="both"/>
        <w:rPr>
          <w:rFonts w:ascii="Arial" w:hAnsi="Arial" w:cs="Arial"/>
          <w:sz w:val="20"/>
          <w:szCs w:val="20"/>
        </w:rPr>
      </w:pPr>
    </w:p>
    <w:p w14:paraId="19CE1F45" w14:textId="77777777" w:rsidR="00EA3540" w:rsidRDefault="00EA3540" w:rsidP="00EA3540">
      <w:pPr>
        <w:jc w:val="both"/>
        <w:rPr>
          <w:rFonts w:ascii="Arial" w:hAnsi="Arial" w:cs="Arial"/>
          <w:sz w:val="20"/>
          <w:szCs w:val="20"/>
          <w:highlight w:val="yellow"/>
        </w:rPr>
      </w:pPr>
      <w:r w:rsidRPr="00292F20">
        <w:rPr>
          <w:rFonts w:ascii="Arial" w:hAnsi="Arial" w:cs="Arial"/>
          <w:sz w:val="20"/>
          <w:szCs w:val="20"/>
        </w:rPr>
        <w:t>Revenue was £</w:t>
      </w:r>
      <w:r>
        <w:rPr>
          <w:rFonts w:ascii="Arial" w:hAnsi="Arial" w:cs="Arial"/>
          <w:sz w:val="20"/>
          <w:szCs w:val="20"/>
        </w:rPr>
        <w:t>19.8</w:t>
      </w:r>
      <w:r w:rsidRPr="00292F20">
        <w:rPr>
          <w:rFonts w:ascii="Arial" w:hAnsi="Arial" w:cs="Arial"/>
          <w:sz w:val="20"/>
          <w:szCs w:val="20"/>
        </w:rPr>
        <w:t xml:space="preserve">m, </w:t>
      </w:r>
      <w:r>
        <w:rPr>
          <w:rFonts w:ascii="Arial" w:hAnsi="Arial" w:cs="Arial"/>
          <w:sz w:val="20"/>
          <w:szCs w:val="20"/>
        </w:rPr>
        <w:t xml:space="preserve">with growth accelerating to </w:t>
      </w:r>
      <w:r w:rsidRPr="00292F20">
        <w:rPr>
          <w:rFonts w:ascii="Arial" w:hAnsi="Arial" w:cs="Arial"/>
          <w:sz w:val="20"/>
          <w:szCs w:val="20"/>
        </w:rPr>
        <w:t xml:space="preserve">31% versus the first half of 2018, which is growth of </w:t>
      </w:r>
      <w:r>
        <w:rPr>
          <w:rFonts w:ascii="Arial" w:hAnsi="Arial" w:cs="Arial"/>
          <w:sz w:val="20"/>
          <w:szCs w:val="20"/>
        </w:rPr>
        <w:t>24</w:t>
      </w:r>
      <w:r w:rsidRPr="00292F20">
        <w:rPr>
          <w:rFonts w:ascii="Arial" w:hAnsi="Arial" w:cs="Arial"/>
          <w:sz w:val="20"/>
          <w:szCs w:val="20"/>
        </w:rPr>
        <w:t>% on a constant currency basi</w:t>
      </w:r>
      <w:r>
        <w:rPr>
          <w:rFonts w:ascii="Arial" w:hAnsi="Arial" w:cs="Arial"/>
          <w:sz w:val="20"/>
          <w:szCs w:val="20"/>
        </w:rPr>
        <w:t xml:space="preserve">s. </w:t>
      </w:r>
      <w:r w:rsidRPr="00296352">
        <w:rPr>
          <w:rFonts w:ascii="Arial" w:hAnsi="Arial" w:cs="Arial"/>
          <w:sz w:val="20"/>
          <w:szCs w:val="20"/>
        </w:rPr>
        <w:t xml:space="preserve">Fever-Tree </w:t>
      </w:r>
      <w:r>
        <w:rPr>
          <w:rFonts w:ascii="Arial" w:hAnsi="Arial" w:cs="Arial"/>
          <w:sz w:val="20"/>
          <w:szCs w:val="20"/>
        </w:rPr>
        <w:t xml:space="preserve">is firmly established as the no. 1 premium mixer, </w:t>
      </w:r>
      <w:r w:rsidRPr="00296352">
        <w:rPr>
          <w:rFonts w:ascii="Arial" w:hAnsi="Arial" w:cs="Arial"/>
          <w:sz w:val="20"/>
          <w:szCs w:val="20"/>
        </w:rPr>
        <w:t xml:space="preserve">delivering over half of the growth of the premium </w:t>
      </w:r>
      <w:r>
        <w:rPr>
          <w:rFonts w:ascii="Arial" w:hAnsi="Arial" w:cs="Arial"/>
          <w:sz w:val="20"/>
          <w:szCs w:val="20"/>
        </w:rPr>
        <w:t xml:space="preserve">segment in what is the world’s most significant mixer market. </w:t>
      </w:r>
    </w:p>
    <w:p w14:paraId="13925CAE" w14:textId="77777777" w:rsidR="00EA3540" w:rsidRDefault="00EA3540" w:rsidP="00EA3540">
      <w:pPr>
        <w:jc w:val="both"/>
        <w:rPr>
          <w:rFonts w:ascii="Arial" w:hAnsi="Arial" w:cs="Arial"/>
          <w:sz w:val="20"/>
          <w:szCs w:val="20"/>
          <w:highlight w:val="yellow"/>
        </w:rPr>
      </w:pPr>
    </w:p>
    <w:p w14:paraId="70FA450B" w14:textId="2A759276" w:rsidR="00EA3540" w:rsidRDefault="00EA3540" w:rsidP="00EA3540">
      <w:pPr>
        <w:jc w:val="both"/>
        <w:rPr>
          <w:rFonts w:ascii="Arial" w:hAnsi="Arial" w:cs="Arial"/>
          <w:sz w:val="20"/>
          <w:szCs w:val="20"/>
        </w:rPr>
      </w:pPr>
      <w:r w:rsidRPr="00CC467A">
        <w:rPr>
          <w:rFonts w:ascii="Arial" w:hAnsi="Arial" w:cs="Arial"/>
          <w:sz w:val="20"/>
          <w:szCs w:val="20"/>
        </w:rPr>
        <w:t>We are delivering against our strategy in the region and continue to invest and build a very strong platform for future success</w:t>
      </w:r>
      <w:r>
        <w:rPr>
          <w:rFonts w:ascii="Arial" w:hAnsi="Arial" w:cs="Arial"/>
          <w:sz w:val="20"/>
          <w:szCs w:val="20"/>
        </w:rPr>
        <w:t xml:space="preserve">. </w:t>
      </w:r>
      <w:r w:rsidRPr="00034A9A">
        <w:rPr>
          <w:rFonts w:ascii="Arial" w:hAnsi="Arial" w:cs="Arial"/>
          <w:sz w:val="20"/>
          <w:szCs w:val="20"/>
        </w:rPr>
        <w:t xml:space="preserve">The </w:t>
      </w:r>
      <w:r w:rsidR="002330B5">
        <w:rPr>
          <w:rFonts w:ascii="Arial" w:hAnsi="Arial" w:cs="Arial"/>
          <w:sz w:val="20"/>
          <w:szCs w:val="20"/>
        </w:rPr>
        <w:t>Off-Trade</w:t>
      </w:r>
      <w:r w:rsidRPr="00034A9A">
        <w:rPr>
          <w:rFonts w:ascii="Arial" w:hAnsi="Arial" w:cs="Arial"/>
          <w:sz w:val="20"/>
          <w:szCs w:val="20"/>
        </w:rPr>
        <w:t xml:space="preserve"> has seen good momentum</w:t>
      </w:r>
      <w:r>
        <w:rPr>
          <w:rFonts w:ascii="Arial" w:hAnsi="Arial" w:cs="Arial"/>
          <w:sz w:val="20"/>
          <w:szCs w:val="20"/>
        </w:rPr>
        <w:t>,</w:t>
      </w:r>
      <w:r w:rsidRPr="00034A9A">
        <w:rPr>
          <w:rFonts w:ascii="Arial" w:hAnsi="Arial" w:cs="Arial"/>
          <w:sz w:val="20"/>
          <w:szCs w:val="20"/>
        </w:rPr>
        <w:t xml:space="preserve"> building on the distribution wins that were secured towards the end of 2018</w:t>
      </w:r>
      <w:r>
        <w:rPr>
          <w:rFonts w:ascii="Arial" w:hAnsi="Arial" w:cs="Arial"/>
          <w:sz w:val="20"/>
          <w:szCs w:val="20"/>
        </w:rPr>
        <w:t xml:space="preserve"> alongside further gains in the first half. The Group has seen significant broadening of our footprint across major national accounts such as </w:t>
      </w:r>
      <w:r w:rsidRPr="00034A9A">
        <w:rPr>
          <w:rFonts w:ascii="Arial" w:hAnsi="Arial" w:cs="Arial"/>
          <w:sz w:val="20"/>
          <w:szCs w:val="20"/>
        </w:rPr>
        <w:t>Target, Kroger and Walmart</w:t>
      </w:r>
      <w:r>
        <w:rPr>
          <w:rFonts w:ascii="Arial" w:hAnsi="Arial" w:cs="Arial"/>
          <w:sz w:val="20"/>
          <w:szCs w:val="20"/>
        </w:rPr>
        <w:t>,</w:t>
      </w:r>
      <w:r w:rsidRPr="00034A9A">
        <w:rPr>
          <w:rFonts w:ascii="Arial" w:hAnsi="Arial" w:cs="Arial"/>
          <w:sz w:val="20"/>
          <w:szCs w:val="20"/>
        </w:rPr>
        <w:t xml:space="preserve"> as well as regional chains </w:t>
      </w:r>
      <w:r>
        <w:rPr>
          <w:rFonts w:ascii="Arial" w:hAnsi="Arial" w:cs="Arial"/>
          <w:sz w:val="20"/>
          <w:szCs w:val="20"/>
        </w:rPr>
        <w:t>such as Publix in the South</w:t>
      </w:r>
      <w:r w:rsidR="00F47D4C">
        <w:rPr>
          <w:rFonts w:ascii="Arial" w:hAnsi="Arial" w:cs="Arial"/>
          <w:sz w:val="20"/>
          <w:szCs w:val="20"/>
        </w:rPr>
        <w:t>e</w:t>
      </w:r>
      <w:r>
        <w:rPr>
          <w:rFonts w:ascii="Arial" w:hAnsi="Arial" w:cs="Arial"/>
          <w:sz w:val="20"/>
          <w:szCs w:val="20"/>
        </w:rPr>
        <w:t>ast.</w:t>
      </w:r>
    </w:p>
    <w:p w14:paraId="4C379BED" w14:textId="77777777" w:rsidR="00EA3540" w:rsidRDefault="00EA3540" w:rsidP="00EA3540">
      <w:pPr>
        <w:jc w:val="both"/>
        <w:rPr>
          <w:rFonts w:ascii="Arial" w:hAnsi="Arial" w:cs="Arial"/>
          <w:sz w:val="20"/>
          <w:szCs w:val="20"/>
        </w:rPr>
      </w:pPr>
    </w:p>
    <w:p w14:paraId="0C65A05A" w14:textId="27A2D9CC" w:rsidR="00EA3540" w:rsidRDefault="00EA3540" w:rsidP="00EA3540">
      <w:pPr>
        <w:jc w:val="both"/>
        <w:rPr>
          <w:rFonts w:ascii="Arial" w:hAnsi="Arial" w:cs="Arial"/>
          <w:sz w:val="20"/>
          <w:szCs w:val="20"/>
        </w:rPr>
      </w:pPr>
      <w:r w:rsidRPr="00CA1221">
        <w:rPr>
          <w:rFonts w:ascii="Arial" w:hAnsi="Arial" w:cs="Arial"/>
          <w:sz w:val="20"/>
          <w:szCs w:val="20"/>
        </w:rPr>
        <w:t xml:space="preserve">In the </w:t>
      </w:r>
      <w:r w:rsidR="002330B5">
        <w:rPr>
          <w:rFonts w:ascii="Arial" w:hAnsi="Arial" w:cs="Arial"/>
          <w:sz w:val="20"/>
          <w:szCs w:val="20"/>
        </w:rPr>
        <w:t>On-Trade</w:t>
      </w:r>
      <w:r w:rsidRPr="00CA1221">
        <w:rPr>
          <w:rFonts w:ascii="Arial" w:hAnsi="Arial" w:cs="Arial"/>
          <w:sz w:val="20"/>
          <w:szCs w:val="20"/>
        </w:rPr>
        <w:t xml:space="preserve"> our anchor distribution network is firmly established</w:t>
      </w:r>
      <w:r>
        <w:rPr>
          <w:rFonts w:ascii="Arial" w:hAnsi="Arial" w:cs="Arial"/>
          <w:sz w:val="20"/>
          <w:szCs w:val="20"/>
        </w:rPr>
        <w:t xml:space="preserve">. </w:t>
      </w:r>
      <w:r w:rsidRPr="00CA1221">
        <w:rPr>
          <w:rFonts w:ascii="Arial" w:hAnsi="Arial" w:cs="Arial"/>
          <w:sz w:val="20"/>
          <w:szCs w:val="20"/>
        </w:rPr>
        <w:t xml:space="preserve">The </w:t>
      </w:r>
      <w:r>
        <w:rPr>
          <w:rFonts w:ascii="Arial" w:hAnsi="Arial" w:cs="Arial"/>
          <w:sz w:val="20"/>
          <w:szCs w:val="20"/>
        </w:rPr>
        <w:t xml:space="preserve">partnership </w:t>
      </w:r>
      <w:r w:rsidRPr="00CA1221">
        <w:rPr>
          <w:rFonts w:ascii="Arial" w:hAnsi="Arial" w:cs="Arial"/>
          <w:sz w:val="20"/>
          <w:szCs w:val="20"/>
        </w:rPr>
        <w:t>with Southern</w:t>
      </w:r>
      <w:r>
        <w:rPr>
          <w:rFonts w:ascii="Arial" w:hAnsi="Arial" w:cs="Arial"/>
          <w:sz w:val="20"/>
          <w:szCs w:val="20"/>
        </w:rPr>
        <w:t xml:space="preserve"> Glazers Wines &amp; Spirits (“SGWS”)</w:t>
      </w:r>
      <w:r w:rsidRPr="00CA1221">
        <w:rPr>
          <w:rFonts w:ascii="Arial" w:hAnsi="Arial" w:cs="Arial"/>
          <w:sz w:val="20"/>
          <w:szCs w:val="20"/>
        </w:rPr>
        <w:t xml:space="preserve"> continues to </w:t>
      </w:r>
      <w:r>
        <w:rPr>
          <w:rFonts w:ascii="Arial" w:hAnsi="Arial" w:cs="Arial"/>
          <w:sz w:val="20"/>
          <w:szCs w:val="20"/>
        </w:rPr>
        <w:t xml:space="preserve">develop well </w:t>
      </w:r>
      <w:r w:rsidRPr="00CA1221">
        <w:rPr>
          <w:rFonts w:ascii="Arial" w:hAnsi="Arial" w:cs="Arial"/>
          <w:sz w:val="20"/>
          <w:szCs w:val="20"/>
        </w:rPr>
        <w:t xml:space="preserve">with </w:t>
      </w:r>
      <w:r>
        <w:rPr>
          <w:rFonts w:ascii="Arial" w:hAnsi="Arial" w:cs="Arial"/>
          <w:sz w:val="20"/>
          <w:szCs w:val="20"/>
        </w:rPr>
        <w:t xml:space="preserve">new account wins secured </w:t>
      </w:r>
      <w:r w:rsidRPr="00CA1221">
        <w:rPr>
          <w:rFonts w:ascii="Arial" w:hAnsi="Arial" w:cs="Arial"/>
          <w:sz w:val="20"/>
          <w:szCs w:val="20"/>
        </w:rPr>
        <w:t xml:space="preserve">in </w:t>
      </w:r>
      <w:r w:rsidR="002330B5">
        <w:rPr>
          <w:rFonts w:ascii="Arial" w:hAnsi="Arial" w:cs="Arial"/>
          <w:sz w:val="20"/>
          <w:szCs w:val="20"/>
        </w:rPr>
        <w:t>On-Trade</w:t>
      </w:r>
      <w:r w:rsidRPr="00CA1221">
        <w:rPr>
          <w:rFonts w:ascii="Arial" w:hAnsi="Arial" w:cs="Arial"/>
          <w:sz w:val="20"/>
          <w:szCs w:val="20"/>
        </w:rPr>
        <w:t xml:space="preserve"> outlets</w:t>
      </w:r>
      <w:r>
        <w:rPr>
          <w:rFonts w:ascii="Arial" w:hAnsi="Arial" w:cs="Arial"/>
          <w:sz w:val="20"/>
          <w:szCs w:val="20"/>
        </w:rPr>
        <w:t xml:space="preserve"> as part of a fast start initiative implemented by both parties. During the period</w:t>
      </w:r>
      <w:r w:rsidR="00644518">
        <w:rPr>
          <w:rFonts w:ascii="Arial" w:hAnsi="Arial" w:cs="Arial"/>
          <w:sz w:val="20"/>
          <w:szCs w:val="20"/>
        </w:rPr>
        <w:t>,</w:t>
      </w:r>
      <w:r>
        <w:rPr>
          <w:rFonts w:ascii="Arial" w:hAnsi="Arial" w:cs="Arial"/>
          <w:sz w:val="20"/>
          <w:szCs w:val="20"/>
        </w:rPr>
        <w:t xml:space="preserve"> </w:t>
      </w:r>
      <w:r w:rsidRPr="00CA1221">
        <w:rPr>
          <w:rFonts w:ascii="Arial" w:hAnsi="Arial" w:cs="Arial"/>
          <w:sz w:val="20"/>
          <w:szCs w:val="20"/>
        </w:rPr>
        <w:t xml:space="preserve">Union Beer </w:t>
      </w:r>
      <w:r>
        <w:rPr>
          <w:rFonts w:ascii="Arial" w:hAnsi="Arial" w:cs="Arial"/>
          <w:sz w:val="20"/>
          <w:szCs w:val="20"/>
        </w:rPr>
        <w:t xml:space="preserve">Distributors were appointed </w:t>
      </w:r>
      <w:r w:rsidRPr="00CA1221">
        <w:rPr>
          <w:rFonts w:ascii="Arial" w:hAnsi="Arial" w:cs="Arial"/>
          <w:sz w:val="20"/>
          <w:szCs w:val="20"/>
        </w:rPr>
        <w:t>in New York</w:t>
      </w:r>
      <w:r>
        <w:rPr>
          <w:rFonts w:ascii="Arial" w:hAnsi="Arial" w:cs="Arial"/>
          <w:sz w:val="20"/>
          <w:szCs w:val="20"/>
        </w:rPr>
        <w:t xml:space="preserve"> state</w:t>
      </w:r>
      <w:r w:rsidR="00644518">
        <w:rPr>
          <w:rFonts w:ascii="Arial" w:hAnsi="Arial" w:cs="Arial"/>
          <w:sz w:val="20"/>
          <w:szCs w:val="20"/>
        </w:rPr>
        <w:t>,</w:t>
      </w:r>
      <w:r>
        <w:rPr>
          <w:rFonts w:ascii="Arial" w:hAnsi="Arial" w:cs="Arial"/>
          <w:sz w:val="20"/>
          <w:szCs w:val="20"/>
        </w:rPr>
        <w:t xml:space="preserve"> strengthening our route to market </w:t>
      </w:r>
      <w:r w:rsidRPr="007D33C0">
        <w:rPr>
          <w:rFonts w:ascii="Arial" w:hAnsi="Arial" w:cs="Arial"/>
          <w:sz w:val="20"/>
          <w:szCs w:val="20"/>
        </w:rPr>
        <w:t>in an influential state</w:t>
      </w:r>
      <w:r>
        <w:rPr>
          <w:rFonts w:ascii="Arial" w:hAnsi="Arial" w:cs="Arial"/>
          <w:sz w:val="20"/>
          <w:szCs w:val="20"/>
        </w:rPr>
        <w:t>.</w:t>
      </w:r>
    </w:p>
    <w:p w14:paraId="31C55A96" w14:textId="77777777" w:rsidR="00EA3540" w:rsidRDefault="00EA3540" w:rsidP="00EA3540">
      <w:pPr>
        <w:jc w:val="both"/>
        <w:rPr>
          <w:rFonts w:ascii="Arial" w:hAnsi="Arial" w:cs="Arial"/>
          <w:sz w:val="20"/>
          <w:szCs w:val="20"/>
        </w:rPr>
      </w:pPr>
    </w:p>
    <w:p w14:paraId="7B3107AD" w14:textId="2D8A29F2" w:rsidR="00EA3540" w:rsidRDefault="00EA3540" w:rsidP="00EA3540">
      <w:pPr>
        <w:jc w:val="both"/>
        <w:rPr>
          <w:rFonts w:ascii="Arial" w:hAnsi="Arial" w:cs="Arial"/>
          <w:sz w:val="20"/>
          <w:szCs w:val="20"/>
        </w:rPr>
      </w:pPr>
      <w:r>
        <w:rPr>
          <w:rFonts w:ascii="Arial" w:hAnsi="Arial" w:cs="Arial"/>
          <w:sz w:val="20"/>
          <w:szCs w:val="20"/>
        </w:rPr>
        <w:t>The t</w:t>
      </w:r>
      <w:r w:rsidRPr="00454137">
        <w:rPr>
          <w:rFonts w:ascii="Arial" w:hAnsi="Arial" w:cs="Arial"/>
          <w:sz w:val="20"/>
          <w:szCs w:val="20"/>
        </w:rPr>
        <w:t xml:space="preserve">rend towards spirits premiumisation </w:t>
      </w:r>
      <w:r>
        <w:rPr>
          <w:rFonts w:ascii="Arial" w:hAnsi="Arial" w:cs="Arial"/>
          <w:sz w:val="20"/>
          <w:szCs w:val="20"/>
        </w:rPr>
        <w:t xml:space="preserve">continues, with all the major spirits categories seeing positive growth at the premium end of their portfolios, reflecting consumers’ willingness to not only trade up in their drinking choices but switch from beer and wine.  </w:t>
      </w:r>
      <w:r w:rsidRPr="008F527D">
        <w:rPr>
          <w:rFonts w:ascii="Arial" w:hAnsi="Arial" w:cs="Arial"/>
          <w:sz w:val="20"/>
          <w:szCs w:val="20"/>
        </w:rPr>
        <w:t>Our relationship with spirits companies</w:t>
      </w:r>
      <w:r>
        <w:rPr>
          <w:rFonts w:ascii="Arial" w:hAnsi="Arial" w:cs="Arial"/>
          <w:sz w:val="20"/>
          <w:szCs w:val="20"/>
        </w:rPr>
        <w:t>, across both global and local craft brands,</w:t>
      </w:r>
      <w:r w:rsidRPr="008F527D">
        <w:rPr>
          <w:rFonts w:ascii="Arial" w:hAnsi="Arial" w:cs="Arial"/>
          <w:sz w:val="20"/>
          <w:szCs w:val="20"/>
        </w:rPr>
        <w:t xml:space="preserve"> has continued to strengthen</w:t>
      </w:r>
      <w:r w:rsidR="00644518">
        <w:rPr>
          <w:rFonts w:ascii="Arial" w:hAnsi="Arial" w:cs="Arial"/>
          <w:sz w:val="20"/>
          <w:szCs w:val="20"/>
        </w:rPr>
        <w:t>,</w:t>
      </w:r>
      <w:r>
        <w:rPr>
          <w:rFonts w:ascii="Arial" w:hAnsi="Arial" w:cs="Arial"/>
          <w:sz w:val="20"/>
          <w:szCs w:val="20"/>
        </w:rPr>
        <w:t xml:space="preserve"> </w:t>
      </w:r>
      <w:r w:rsidRPr="008F527D">
        <w:rPr>
          <w:rFonts w:ascii="Arial" w:hAnsi="Arial" w:cs="Arial"/>
          <w:sz w:val="20"/>
          <w:szCs w:val="20"/>
        </w:rPr>
        <w:t xml:space="preserve">with a </w:t>
      </w:r>
      <w:r>
        <w:rPr>
          <w:rFonts w:ascii="Arial" w:hAnsi="Arial" w:cs="Arial"/>
          <w:sz w:val="20"/>
          <w:szCs w:val="20"/>
        </w:rPr>
        <w:t>broad</w:t>
      </w:r>
      <w:r w:rsidRPr="008F527D">
        <w:rPr>
          <w:rFonts w:ascii="Arial" w:hAnsi="Arial" w:cs="Arial"/>
          <w:sz w:val="20"/>
          <w:szCs w:val="20"/>
        </w:rPr>
        <w:t xml:space="preserve"> range of co-promotional activity during the first six months of the year.</w:t>
      </w:r>
      <w:r>
        <w:rPr>
          <w:rFonts w:ascii="Arial" w:hAnsi="Arial" w:cs="Arial"/>
          <w:sz w:val="20"/>
          <w:szCs w:val="20"/>
        </w:rPr>
        <w:t xml:space="preserve"> </w:t>
      </w:r>
    </w:p>
    <w:p w14:paraId="23007A3A" w14:textId="77777777" w:rsidR="00EA3540" w:rsidRDefault="00EA3540" w:rsidP="00EA3540">
      <w:pPr>
        <w:jc w:val="both"/>
        <w:rPr>
          <w:rFonts w:ascii="Arial" w:hAnsi="Arial" w:cs="Arial"/>
          <w:sz w:val="20"/>
          <w:szCs w:val="20"/>
        </w:rPr>
      </w:pPr>
    </w:p>
    <w:p w14:paraId="645DB8A4" w14:textId="41FB31FF" w:rsidR="00EA3540" w:rsidRDefault="00EA3540" w:rsidP="00EA3540">
      <w:pPr>
        <w:jc w:val="both"/>
        <w:rPr>
          <w:rFonts w:ascii="Arial" w:hAnsi="Arial" w:cs="Arial"/>
          <w:sz w:val="20"/>
          <w:szCs w:val="20"/>
        </w:rPr>
      </w:pPr>
      <w:r>
        <w:rPr>
          <w:rFonts w:ascii="Arial" w:hAnsi="Arial" w:cs="Arial"/>
          <w:sz w:val="20"/>
          <w:szCs w:val="20"/>
        </w:rPr>
        <w:t>We have</w:t>
      </w:r>
      <w:r w:rsidRPr="001E2D3A">
        <w:rPr>
          <w:rFonts w:ascii="Arial" w:hAnsi="Arial" w:cs="Arial"/>
          <w:sz w:val="20"/>
          <w:szCs w:val="20"/>
        </w:rPr>
        <w:t xml:space="preserve"> seen good growth</w:t>
      </w:r>
      <w:r>
        <w:rPr>
          <w:rFonts w:ascii="Arial" w:hAnsi="Arial" w:cs="Arial"/>
          <w:sz w:val="20"/>
          <w:szCs w:val="20"/>
        </w:rPr>
        <w:t xml:space="preserve"> </w:t>
      </w:r>
      <w:r w:rsidRPr="001E2D3A">
        <w:rPr>
          <w:rFonts w:ascii="Arial" w:hAnsi="Arial" w:cs="Arial"/>
          <w:sz w:val="20"/>
          <w:szCs w:val="20"/>
        </w:rPr>
        <w:t>across both our Indian and flavoured tonics, with Elderflower Tonic and Mediterranean Tonic increasing distribution and sales by 50%.</w:t>
      </w:r>
      <w:r>
        <w:rPr>
          <w:rFonts w:ascii="Arial" w:hAnsi="Arial" w:cs="Arial"/>
          <w:sz w:val="20"/>
          <w:szCs w:val="20"/>
        </w:rPr>
        <w:t xml:space="preserve"> In addition, our Ginger Beer and Ales are performing well</w:t>
      </w:r>
      <w:r w:rsidR="001F276C">
        <w:rPr>
          <w:rFonts w:ascii="Arial" w:hAnsi="Arial" w:cs="Arial"/>
          <w:sz w:val="20"/>
          <w:szCs w:val="20"/>
        </w:rPr>
        <w:t xml:space="preserve">; </w:t>
      </w:r>
      <w:r>
        <w:rPr>
          <w:rFonts w:ascii="Arial" w:hAnsi="Arial" w:cs="Arial"/>
          <w:sz w:val="20"/>
          <w:szCs w:val="20"/>
        </w:rPr>
        <w:t>the first half saw the launch of our Spiced Orange and Smoky Ginger Ales to a very positive response across the trade and we remain excited about the longer term opportunity for our ginger range in the US.</w:t>
      </w:r>
    </w:p>
    <w:p w14:paraId="7A8166E8" w14:textId="77777777" w:rsidR="00EA3540" w:rsidRDefault="00EA3540" w:rsidP="00EA3540">
      <w:pPr>
        <w:jc w:val="both"/>
        <w:rPr>
          <w:rFonts w:ascii="Arial" w:hAnsi="Arial" w:cs="Arial"/>
          <w:sz w:val="20"/>
          <w:szCs w:val="20"/>
        </w:rPr>
      </w:pPr>
    </w:p>
    <w:p w14:paraId="5155D1BC" w14:textId="5EA201ED" w:rsidR="00EA3540" w:rsidRDefault="00EA3540" w:rsidP="00EA3540">
      <w:pPr>
        <w:rPr>
          <w:rFonts w:ascii="Arial" w:hAnsi="Arial" w:cs="Arial"/>
          <w:sz w:val="20"/>
          <w:szCs w:val="20"/>
        </w:rPr>
      </w:pPr>
      <w:r>
        <w:rPr>
          <w:rFonts w:ascii="Arial" w:hAnsi="Arial" w:cs="Arial"/>
          <w:sz w:val="20"/>
          <w:szCs w:val="20"/>
        </w:rPr>
        <w:t xml:space="preserve">It is now a </w:t>
      </w:r>
      <w:r w:rsidRPr="005763D0">
        <w:rPr>
          <w:rFonts w:ascii="Arial" w:hAnsi="Arial" w:cs="Arial"/>
          <w:sz w:val="20"/>
          <w:szCs w:val="20"/>
        </w:rPr>
        <w:t xml:space="preserve">year since </w:t>
      </w:r>
      <w:r>
        <w:rPr>
          <w:rFonts w:ascii="Arial" w:hAnsi="Arial" w:cs="Arial"/>
          <w:sz w:val="20"/>
          <w:szCs w:val="20"/>
        </w:rPr>
        <w:t xml:space="preserve">we established our wholly owned operations in the US and </w:t>
      </w:r>
      <w:r w:rsidRPr="005763D0">
        <w:rPr>
          <w:rFonts w:ascii="Arial" w:hAnsi="Arial" w:cs="Arial"/>
          <w:sz w:val="20"/>
          <w:szCs w:val="20"/>
        </w:rPr>
        <w:t>we</w:t>
      </w:r>
      <w:r>
        <w:rPr>
          <w:rFonts w:ascii="Arial" w:hAnsi="Arial" w:cs="Arial"/>
          <w:sz w:val="20"/>
          <w:szCs w:val="20"/>
        </w:rPr>
        <w:t xml:space="preserve"> have been very </w:t>
      </w:r>
      <w:r w:rsidRPr="005763D0">
        <w:rPr>
          <w:rFonts w:ascii="Arial" w:hAnsi="Arial" w:cs="Arial"/>
          <w:sz w:val="20"/>
          <w:szCs w:val="20"/>
        </w:rPr>
        <w:t xml:space="preserve">pleased with the progress </w:t>
      </w:r>
      <w:r>
        <w:rPr>
          <w:rFonts w:ascii="Arial" w:hAnsi="Arial" w:cs="Arial"/>
          <w:sz w:val="20"/>
          <w:szCs w:val="20"/>
        </w:rPr>
        <w:t>to date.  We have a</w:t>
      </w:r>
      <w:r w:rsidRPr="005763D0">
        <w:rPr>
          <w:rFonts w:ascii="Arial" w:hAnsi="Arial" w:cs="Arial"/>
          <w:sz w:val="20"/>
          <w:szCs w:val="20"/>
        </w:rPr>
        <w:t xml:space="preserve"> great team in place</w:t>
      </w:r>
      <w:r>
        <w:rPr>
          <w:rFonts w:ascii="Arial" w:hAnsi="Arial" w:cs="Arial"/>
          <w:sz w:val="20"/>
          <w:szCs w:val="20"/>
        </w:rPr>
        <w:t xml:space="preserve"> with over</w:t>
      </w:r>
      <w:r w:rsidRPr="005763D0">
        <w:rPr>
          <w:rFonts w:ascii="Arial" w:hAnsi="Arial" w:cs="Arial"/>
          <w:sz w:val="20"/>
          <w:szCs w:val="20"/>
        </w:rPr>
        <w:t xml:space="preserve"> 40 people </w:t>
      </w:r>
      <w:r w:rsidR="00FE6BB6">
        <w:rPr>
          <w:rFonts w:ascii="Arial" w:hAnsi="Arial" w:cs="Arial"/>
          <w:sz w:val="20"/>
          <w:szCs w:val="20"/>
        </w:rPr>
        <w:t>across the</w:t>
      </w:r>
      <w:r w:rsidRPr="005763D0">
        <w:rPr>
          <w:rFonts w:ascii="Arial" w:hAnsi="Arial" w:cs="Arial"/>
          <w:sz w:val="20"/>
          <w:szCs w:val="20"/>
        </w:rPr>
        <w:t xml:space="preserve"> country</w:t>
      </w:r>
      <w:r>
        <w:rPr>
          <w:rFonts w:ascii="Arial" w:hAnsi="Arial" w:cs="Arial"/>
          <w:sz w:val="20"/>
          <w:szCs w:val="20"/>
        </w:rPr>
        <w:t xml:space="preserve">. We have </w:t>
      </w:r>
      <w:r w:rsidRPr="005763D0">
        <w:rPr>
          <w:rFonts w:ascii="Arial" w:hAnsi="Arial" w:cs="Arial"/>
          <w:sz w:val="20"/>
          <w:szCs w:val="20"/>
        </w:rPr>
        <w:t xml:space="preserve">established a strong </w:t>
      </w:r>
      <w:r>
        <w:rPr>
          <w:rFonts w:ascii="Arial" w:hAnsi="Arial" w:cs="Arial"/>
          <w:sz w:val="20"/>
          <w:szCs w:val="20"/>
        </w:rPr>
        <w:t xml:space="preserve">route to market, are winning national distribution across both channels and continue to drive the growth of the mixer category. Our marketing and investment remain key areas of focus and </w:t>
      </w:r>
      <w:r w:rsidRPr="005763D0">
        <w:rPr>
          <w:rFonts w:ascii="Arial" w:hAnsi="Arial" w:cs="Arial"/>
          <w:sz w:val="20"/>
          <w:szCs w:val="20"/>
        </w:rPr>
        <w:t xml:space="preserve">the brand is building awareness and recognition with both consumers and the trade. </w:t>
      </w:r>
      <w:r w:rsidRPr="005763D0">
        <w:rPr>
          <w:rFonts w:ascii="Arial" w:hAnsi="Arial" w:cs="Arial"/>
          <w:sz w:val="20"/>
          <w:szCs w:val="20"/>
        </w:rPr>
        <w:br/>
      </w:r>
    </w:p>
    <w:p w14:paraId="645BF216" w14:textId="77777777" w:rsidR="00EA3540" w:rsidRPr="009259EC" w:rsidRDefault="00EA3540" w:rsidP="00EA3540">
      <w:pPr>
        <w:jc w:val="both"/>
        <w:rPr>
          <w:rFonts w:ascii="Arial" w:hAnsi="Arial" w:cs="Arial"/>
          <w:b/>
          <w:sz w:val="20"/>
          <w:szCs w:val="20"/>
          <w:highlight w:val="yellow"/>
        </w:rPr>
      </w:pPr>
    </w:p>
    <w:p w14:paraId="36631933" w14:textId="77777777" w:rsidR="00EA3540" w:rsidRPr="00CB1437" w:rsidRDefault="00EA3540" w:rsidP="00EA3540">
      <w:pPr>
        <w:jc w:val="both"/>
        <w:rPr>
          <w:rFonts w:ascii="Arial" w:hAnsi="Arial" w:cs="Arial"/>
          <w:b/>
          <w:sz w:val="20"/>
          <w:szCs w:val="20"/>
        </w:rPr>
      </w:pPr>
      <w:r w:rsidRPr="00CB1437">
        <w:rPr>
          <w:rFonts w:ascii="Arial" w:hAnsi="Arial" w:cs="Arial"/>
          <w:b/>
          <w:sz w:val="20"/>
          <w:szCs w:val="20"/>
        </w:rPr>
        <w:t>Continental Europe</w:t>
      </w:r>
    </w:p>
    <w:p w14:paraId="12CA7FE3" w14:textId="77777777" w:rsidR="00EA3540" w:rsidRDefault="00EA3540" w:rsidP="00EA3540">
      <w:pPr>
        <w:jc w:val="both"/>
        <w:rPr>
          <w:rFonts w:ascii="Arial" w:hAnsi="Arial" w:cs="Arial"/>
          <w:b/>
          <w:i/>
          <w:sz w:val="20"/>
          <w:szCs w:val="20"/>
          <w:highlight w:val="yellow"/>
        </w:rPr>
      </w:pPr>
    </w:p>
    <w:p w14:paraId="7D98F071" w14:textId="77777777" w:rsidR="00EA3540" w:rsidRPr="00292F20" w:rsidRDefault="00EA3540" w:rsidP="00EA3540">
      <w:pPr>
        <w:jc w:val="both"/>
        <w:rPr>
          <w:rFonts w:ascii="Arial" w:hAnsi="Arial" w:cs="Arial"/>
          <w:sz w:val="20"/>
          <w:szCs w:val="20"/>
        </w:rPr>
      </w:pPr>
      <w:r w:rsidRPr="00292F20">
        <w:rPr>
          <w:rFonts w:ascii="Arial" w:hAnsi="Arial" w:cs="Arial"/>
          <w:sz w:val="20"/>
          <w:szCs w:val="20"/>
        </w:rPr>
        <w:t xml:space="preserve">Europe has delivered a </w:t>
      </w:r>
      <w:r>
        <w:rPr>
          <w:rFonts w:ascii="Arial" w:hAnsi="Arial" w:cs="Arial"/>
          <w:sz w:val="20"/>
          <w:szCs w:val="20"/>
        </w:rPr>
        <w:t>good</w:t>
      </w:r>
      <w:r w:rsidRPr="00292F20">
        <w:rPr>
          <w:rFonts w:ascii="Arial" w:hAnsi="Arial" w:cs="Arial"/>
          <w:sz w:val="20"/>
          <w:szCs w:val="20"/>
        </w:rPr>
        <w:t xml:space="preserve"> performance with revenue growth of 1</w:t>
      </w:r>
      <w:r>
        <w:rPr>
          <w:rFonts w:ascii="Arial" w:hAnsi="Arial" w:cs="Arial"/>
          <w:sz w:val="20"/>
          <w:szCs w:val="20"/>
        </w:rPr>
        <w:t>3</w:t>
      </w:r>
      <w:r w:rsidRPr="00292F20">
        <w:rPr>
          <w:rFonts w:ascii="Arial" w:hAnsi="Arial" w:cs="Arial"/>
          <w:sz w:val="20"/>
          <w:szCs w:val="20"/>
        </w:rPr>
        <w:t xml:space="preserve">%, representing </w:t>
      </w:r>
      <w:r>
        <w:rPr>
          <w:rFonts w:ascii="Arial" w:hAnsi="Arial" w:cs="Arial"/>
          <w:sz w:val="20"/>
          <w:szCs w:val="20"/>
        </w:rPr>
        <w:t>14</w:t>
      </w:r>
      <w:r w:rsidRPr="00292F20">
        <w:rPr>
          <w:rFonts w:ascii="Arial" w:hAnsi="Arial" w:cs="Arial"/>
          <w:sz w:val="20"/>
          <w:szCs w:val="20"/>
        </w:rPr>
        <w:t>% on a constant currency basis</w:t>
      </w:r>
      <w:r>
        <w:rPr>
          <w:rFonts w:ascii="Arial" w:hAnsi="Arial" w:cs="Arial"/>
          <w:sz w:val="20"/>
          <w:szCs w:val="20"/>
        </w:rPr>
        <w:t xml:space="preserve"> in what is our second largest market</w:t>
      </w:r>
      <w:r w:rsidRPr="00292F20">
        <w:rPr>
          <w:rFonts w:ascii="Arial" w:hAnsi="Arial" w:cs="Arial"/>
          <w:sz w:val="20"/>
          <w:szCs w:val="20"/>
        </w:rPr>
        <w:t xml:space="preserve">.  </w:t>
      </w:r>
      <w:r>
        <w:rPr>
          <w:rFonts w:ascii="Arial" w:hAnsi="Arial" w:cs="Arial"/>
          <w:sz w:val="20"/>
          <w:szCs w:val="20"/>
        </w:rPr>
        <w:t>As we have seen in previous years, our weighting between the first half and second half growth can be influenced by the phasing of order fulfillments around the half year and we remain confident of seeing an acceleration in the second half.</w:t>
      </w:r>
    </w:p>
    <w:p w14:paraId="6F4D1C1B" w14:textId="77777777" w:rsidR="00EA3540" w:rsidRPr="009259EC" w:rsidRDefault="00EA3540" w:rsidP="00EA3540">
      <w:pPr>
        <w:jc w:val="both"/>
        <w:rPr>
          <w:rFonts w:ascii="Arial" w:hAnsi="Arial" w:cs="Arial"/>
          <w:sz w:val="20"/>
          <w:szCs w:val="20"/>
          <w:highlight w:val="yellow"/>
        </w:rPr>
      </w:pPr>
    </w:p>
    <w:p w14:paraId="7C3C17CA" w14:textId="1F30F63C" w:rsidR="00EA3540" w:rsidRPr="00C50E93" w:rsidRDefault="00EA3540" w:rsidP="00EA3540">
      <w:pPr>
        <w:jc w:val="both"/>
        <w:rPr>
          <w:rFonts w:ascii="Arial" w:hAnsi="Arial" w:cs="Arial"/>
          <w:sz w:val="20"/>
          <w:szCs w:val="20"/>
        </w:rPr>
      </w:pPr>
      <w:r w:rsidRPr="00C50E93">
        <w:rPr>
          <w:rFonts w:ascii="Arial" w:hAnsi="Arial" w:cs="Arial"/>
          <w:sz w:val="20"/>
          <w:szCs w:val="20"/>
        </w:rPr>
        <w:t xml:space="preserve">We </w:t>
      </w:r>
      <w:r>
        <w:rPr>
          <w:rFonts w:ascii="Arial" w:hAnsi="Arial" w:cs="Arial"/>
          <w:sz w:val="20"/>
          <w:szCs w:val="20"/>
        </w:rPr>
        <w:t xml:space="preserve">have increased our investment </w:t>
      </w:r>
      <w:r w:rsidRPr="00C50E93">
        <w:rPr>
          <w:rFonts w:ascii="Arial" w:hAnsi="Arial" w:cs="Arial"/>
          <w:sz w:val="20"/>
          <w:szCs w:val="20"/>
        </w:rPr>
        <w:t xml:space="preserve">in the region and are seeing the benefits of having our own dedicated Fever-Tree </w:t>
      </w:r>
      <w:r>
        <w:rPr>
          <w:rFonts w:ascii="Arial" w:hAnsi="Arial" w:cs="Arial"/>
          <w:sz w:val="20"/>
          <w:szCs w:val="20"/>
        </w:rPr>
        <w:t>team working</w:t>
      </w:r>
      <w:r w:rsidRPr="00C50E93">
        <w:rPr>
          <w:rFonts w:ascii="Arial" w:hAnsi="Arial" w:cs="Arial"/>
          <w:sz w:val="20"/>
          <w:szCs w:val="20"/>
        </w:rPr>
        <w:t xml:space="preserve"> closer to our end markets</w:t>
      </w:r>
      <w:r>
        <w:rPr>
          <w:rFonts w:ascii="Arial" w:hAnsi="Arial" w:cs="Arial"/>
          <w:sz w:val="20"/>
          <w:szCs w:val="20"/>
        </w:rPr>
        <w:t xml:space="preserve">.  </w:t>
      </w:r>
      <w:r w:rsidRPr="00C50E93">
        <w:rPr>
          <w:rFonts w:ascii="Arial" w:hAnsi="Arial" w:cs="Arial"/>
          <w:sz w:val="20"/>
          <w:szCs w:val="20"/>
        </w:rPr>
        <w:t xml:space="preserve">We have seen a </w:t>
      </w:r>
      <w:r w:rsidRPr="008F527D">
        <w:rPr>
          <w:rFonts w:ascii="Arial" w:hAnsi="Arial" w:cs="Arial"/>
          <w:sz w:val="20"/>
          <w:szCs w:val="20"/>
        </w:rPr>
        <w:t>positive performance across a number of our markets</w:t>
      </w:r>
      <w:r w:rsidRPr="00C50E93">
        <w:rPr>
          <w:rFonts w:ascii="Arial" w:hAnsi="Arial" w:cs="Arial"/>
          <w:sz w:val="20"/>
          <w:szCs w:val="20"/>
        </w:rPr>
        <w:t xml:space="preserve"> with significant new listings secured during the period across both the </w:t>
      </w:r>
      <w:r>
        <w:rPr>
          <w:rFonts w:ascii="Arial" w:hAnsi="Arial" w:cs="Arial"/>
          <w:sz w:val="20"/>
          <w:szCs w:val="20"/>
        </w:rPr>
        <w:t>O</w:t>
      </w:r>
      <w:r w:rsidRPr="00C50E93">
        <w:rPr>
          <w:rFonts w:ascii="Arial" w:hAnsi="Arial" w:cs="Arial"/>
          <w:sz w:val="20"/>
          <w:szCs w:val="20"/>
        </w:rPr>
        <w:t xml:space="preserve">n and </w:t>
      </w:r>
      <w:r w:rsidR="002330B5">
        <w:rPr>
          <w:rFonts w:ascii="Arial" w:hAnsi="Arial" w:cs="Arial"/>
          <w:sz w:val="20"/>
          <w:szCs w:val="20"/>
        </w:rPr>
        <w:t>Off-Trade</w:t>
      </w:r>
      <w:r>
        <w:rPr>
          <w:rFonts w:ascii="Arial" w:hAnsi="Arial" w:cs="Arial"/>
          <w:sz w:val="20"/>
          <w:szCs w:val="20"/>
        </w:rPr>
        <w:t>, notably in Spain, France and Germany. Alongside this, we have changed and improved our approach in Germany, transitioning from an importer relationship to an agency arrangement with our local distribution partner. This is a positive step which brings us closer to a market with significant potential in the region</w:t>
      </w:r>
      <w:r w:rsidR="00644518">
        <w:rPr>
          <w:rFonts w:ascii="Arial" w:hAnsi="Arial" w:cs="Arial"/>
          <w:sz w:val="20"/>
          <w:szCs w:val="20"/>
        </w:rPr>
        <w:t>.</w:t>
      </w:r>
    </w:p>
    <w:p w14:paraId="28699473" w14:textId="77777777" w:rsidR="00EA3540" w:rsidRDefault="00EA3540" w:rsidP="00EA3540">
      <w:pPr>
        <w:jc w:val="both"/>
        <w:rPr>
          <w:rFonts w:ascii="Arial" w:hAnsi="Arial" w:cs="Arial"/>
          <w:sz w:val="20"/>
          <w:szCs w:val="20"/>
          <w:highlight w:val="yellow"/>
        </w:rPr>
      </w:pPr>
    </w:p>
    <w:p w14:paraId="7570C130" w14:textId="68D80856" w:rsidR="00EA3540" w:rsidRPr="00C50E93" w:rsidRDefault="00EA3540" w:rsidP="00EA3540">
      <w:pPr>
        <w:jc w:val="both"/>
        <w:rPr>
          <w:rFonts w:ascii="Arial" w:hAnsi="Arial" w:cs="Arial"/>
          <w:sz w:val="20"/>
          <w:szCs w:val="20"/>
        </w:rPr>
      </w:pPr>
      <w:r>
        <w:rPr>
          <w:rFonts w:ascii="Arial" w:hAnsi="Arial" w:cs="Arial"/>
          <w:sz w:val="20"/>
          <w:szCs w:val="20"/>
        </w:rPr>
        <w:t>Whilst well established in a small number of countries, the g</w:t>
      </w:r>
      <w:r w:rsidRPr="00C50E93">
        <w:rPr>
          <w:rFonts w:ascii="Arial" w:hAnsi="Arial" w:cs="Arial"/>
          <w:sz w:val="20"/>
          <w:szCs w:val="20"/>
        </w:rPr>
        <w:t xml:space="preserve">in and tonic trend </w:t>
      </w:r>
      <w:r w:rsidR="00D1509F">
        <w:rPr>
          <w:rFonts w:ascii="Arial" w:hAnsi="Arial" w:cs="Arial"/>
          <w:sz w:val="20"/>
          <w:szCs w:val="20"/>
        </w:rPr>
        <w:t xml:space="preserve">is gathering momentum </w:t>
      </w:r>
      <w:r w:rsidR="00FE6BB6">
        <w:rPr>
          <w:rFonts w:ascii="Arial" w:hAnsi="Arial" w:cs="Arial"/>
          <w:sz w:val="20"/>
          <w:szCs w:val="20"/>
        </w:rPr>
        <w:t>across</w:t>
      </w:r>
      <w:r w:rsidRPr="00C50E93">
        <w:rPr>
          <w:rFonts w:ascii="Arial" w:hAnsi="Arial" w:cs="Arial"/>
          <w:sz w:val="20"/>
          <w:szCs w:val="20"/>
        </w:rPr>
        <w:t xml:space="preserve"> much of Europe</w:t>
      </w:r>
      <w:r>
        <w:rPr>
          <w:rFonts w:ascii="Arial" w:hAnsi="Arial" w:cs="Arial"/>
          <w:sz w:val="20"/>
          <w:szCs w:val="20"/>
        </w:rPr>
        <w:t>. Premium gin is in strong growth across many of its markets and we are well positioned to capitalise on</w:t>
      </w:r>
      <w:r w:rsidR="00FE6BB6">
        <w:rPr>
          <w:rFonts w:ascii="Arial" w:hAnsi="Arial" w:cs="Arial"/>
          <w:sz w:val="20"/>
          <w:szCs w:val="20"/>
        </w:rPr>
        <w:t xml:space="preserve"> and help drive</w:t>
      </w:r>
      <w:r>
        <w:rPr>
          <w:rFonts w:ascii="Arial" w:hAnsi="Arial" w:cs="Arial"/>
          <w:sz w:val="20"/>
          <w:szCs w:val="20"/>
        </w:rPr>
        <w:t xml:space="preserve"> this movement. We also </w:t>
      </w:r>
      <w:r w:rsidRPr="008F527D">
        <w:rPr>
          <w:rFonts w:ascii="Arial" w:hAnsi="Arial" w:cs="Arial"/>
          <w:sz w:val="20"/>
          <w:szCs w:val="20"/>
        </w:rPr>
        <w:t xml:space="preserve">see significant opportunities across other spirits categories, with </w:t>
      </w:r>
      <w:r>
        <w:rPr>
          <w:rFonts w:ascii="Arial" w:hAnsi="Arial" w:cs="Arial"/>
          <w:sz w:val="20"/>
          <w:szCs w:val="20"/>
        </w:rPr>
        <w:t xml:space="preserve">multiple </w:t>
      </w:r>
      <w:r w:rsidRPr="008F527D">
        <w:rPr>
          <w:rFonts w:ascii="Arial" w:hAnsi="Arial" w:cs="Arial"/>
          <w:sz w:val="20"/>
          <w:szCs w:val="20"/>
        </w:rPr>
        <w:t>co-promotional campaigns taking place this year</w:t>
      </w:r>
      <w:r>
        <w:rPr>
          <w:rFonts w:ascii="Arial" w:hAnsi="Arial" w:cs="Arial"/>
          <w:sz w:val="20"/>
          <w:szCs w:val="20"/>
        </w:rPr>
        <w:t>.</w:t>
      </w:r>
      <w:r w:rsidRPr="008F527D">
        <w:rPr>
          <w:rFonts w:ascii="Arial" w:hAnsi="Arial" w:cs="Arial"/>
          <w:sz w:val="20"/>
          <w:szCs w:val="20"/>
        </w:rPr>
        <w:t xml:space="preserve"> Meanwhile our </w:t>
      </w:r>
      <w:r w:rsidR="00644518">
        <w:rPr>
          <w:rFonts w:ascii="Arial" w:hAnsi="Arial" w:cs="Arial"/>
          <w:sz w:val="20"/>
          <w:szCs w:val="20"/>
        </w:rPr>
        <w:t>G</w:t>
      </w:r>
      <w:r w:rsidRPr="008F527D">
        <w:rPr>
          <w:rFonts w:ascii="Arial" w:hAnsi="Arial" w:cs="Arial"/>
          <w:sz w:val="20"/>
          <w:szCs w:val="20"/>
        </w:rPr>
        <w:t xml:space="preserve">inger </w:t>
      </w:r>
      <w:r w:rsidR="00644518">
        <w:rPr>
          <w:rFonts w:ascii="Arial" w:hAnsi="Arial" w:cs="Arial"/>
          <w:sz w:val="20"/>
          <w:szCs w:val="20"/>
        </w:rPr>
        <w:t>B</w:t>
      </w:r>
      <w:r w:rsidRPr="008F527D">
        <w:rPr>
          <w:rFonts w:ascii="Arial" w:hAnsi="Arial" w:cs="Arial"/>
          <w:sz w:val="20"/>
          <w:szCs w:val="20"/>
        </w:rPr>
        <w:t xml:space="preserve">eer and </w:t>
      </w:r>
      <w:r w:rsidR="00644518">
        <w:rPr>
          <w:rFonts w:ascii="Arial" w:hAnsi="Arial" w:cs="Arial"/>
          <w:sz w:val="20"/>
          <w:szCs w:val="20"/>
        </w:rPr>
        <w:t>G</w:t>
      </w:r>
      <w:r w:rsidRPr="008F527D">
        <w:rPr>
          <w:rFonts w:ascii="Arial" w:hAnsi="Arial" w:cs="Arial"/>
          <w:sz w:val="20"/>
          <w:szCs w:val="20"/>
        </w:rPr>
        <w:t xml:space="preserve">inger </w:t>
      </w:r>
      <w:r w:rsidR="00644518">
        <w:rPr>
          <w:rFonts w:ascii="Arial" w:hAnsi="Arial" w:cs="Arial"/>
          <w:sz w:val="20"/>
          <w:szCs w:val="20"/>
        </w:rPr>
        <w:t>A</w:t>
      </w:r>
      <w:r w:rsidRPr="008F527D">
        <w:rPr>
          <w:rFonts w:ascii="Arial" w:hAnsi="Arial" w:cs="Arial"/>
          <w:sz w:val="20"/>
          <w:szCs w:val="20"/>
        </w:rPr>
        <w:t xml:space="preserve">les are seeing strong growth in Italy, </w:t>
      </w:r>
      <w:r w:rsidR="00A413E6">
        <w:rPr>
          <w:rFonts w:ascii="Arial" w:hAnsi="Arial" w:cs="Arial"/>
          <w:sz w:val="20"/>
          <w:szCs w:val="20"/>
        </w:rPr>
        <w:t xml:space="preserve">the </w:t>
      </w:r>
      <w:r w:rsidRPr="008F527D">
        <w:rPr>
          <w:rFonts w:ascii="Arial" w:hAnsi="Arial" w:cs="Arial"/>
          <w:sz w:val="20"/>
          <w:szCs w:val="20"/>
        </w:rPr>
        <w:t>Netherlands and Germany</w:t>
      </w:r>
      <w:r>
        <w:rPr>
          <w:rFonts w:ascii="Arial" w:hAnsi="Arial" w:cs="Arial"/>
          <w:sz w:val="20"/>
          <w:szCs w:val="20"/>
        </w:rPr>
        <w:t xml:space="preserve">. We are optimistic about the </w:t>
      </w:r>
      <w:r w:rsidR="00FE6BB6">
        <w:rPr>
          <w:rFonts w:ascii="Arial" w:hAnsi="Arial" w:cs="Arial"/>
          <w:sz w:val="20"/>
          <w:szCs w:val="20"/>
        </w:rPr>
        <w:t>potential</w:t>
      </w:r>
      <w:r>
        <w:rPr>
          <w:rFonts w:ascii="Arial" w:hAnsi="Arial" w:cs="Arial"/>
          <w:sz w:val="20"/>
          <w:szCs w:val="20"/>
        </w:rPr>
        <w:t xml:space="preserve"> in Europe, not just within our tonic products but also across our wider mixer portfolio and will continue to invest to drive the </w:t>
      </w:r>
      <w:r w:rsidR="00FE6BB6">
        <w:rPr>
          <w:rFonts w:ascii="Arial" w:hAnsi="Arial" w:cs="Arial"/>
          <w:sz w:val="20"/>
          <w:szCs w:val="20"/>
        </w:rPr>
        <w:t>growth</w:t>
      </w:r>
      <w:r>
        <w:rPr>
          <w:rFonts w:ascii="Arial" w:hAnsi="Arial" w:cs="Arial"/>
          <w:sz w:val="20"/>
          <w:szCs w:val="20"/>
        </w:rPr>
        <w:t xml:space="preserve"> in this region.</w:t>
      </w:r>
    </w:p>
    <w:p w14:paraId="01B03E3C" w14:textId="77777777" w:rsidR="00EA3540" w:rsidRDefault="00EA3540" w:rsidP="00EA3540">
      <w:pPr>
        <w:jc w:val="both"/>
        <w:rPr>
          <w:rFonts w:ascii="Arial" w:eastAsia="Times New Roman" w:hAnsi="Arial" w:cs="Arial"/>
          <w:i/>
          <w:sz w:val="20"/>
          <w:szCs w:val="20"/>
          <w:highlight w:val="yellow"/>
        </w:rPr>
      </w:pPr>
    </w:p>
    <w:p w14:paraId="61503792" w14:textId="77777777" w:rsidR="00EA3540" w:rsidRPr="0080703E" w:rsidRDefault="00EA3540" w:rsidP="00EA3540">
      <w:pPr>
        <w:jc w:val="both"/>
        <w:rPr>
          <w:rFonts w:ascii="Arial" w:eastAsia="Times New Roman" w:hAnsi="Arial" w:cs="Arial"/>
          <w:b/>
          <w:sz w:val="20"/>
          <w:szCs w:val="20"/>
        </w:rPr>
      </w:pPr>
      <w:r w:rsidRPr="0080703E">
        <w:rPr>
          <w:rFonts w:ascii="Arial" w:eastAsia="Times New Roman" w:hAnsi="Arial" w:cs="Arial"/>
          <w:b/>
          <w:sz w:val="20"/>
          <w:szCs w:val="20"/>
        </w:rPr>
        <w:t>RoW</w:t>
      </w:r>
    </w:p>
    <w:p w14:paraId="5D70C996" w14:textId="77777777" w:rsidR="00EA3540" w:rsidRDefault="00EA3540" w:rsidP="00EA3540">
      <w:pPr>
        <w:jc w:val="both"/>
        <w:rPr>
          <w:rFonts w:ascii="Arial" w:eastAsia="Times New Roman" w:hAnsi="Arial" w:cs="Arial"/>
          <w:i/>
          <w:sz w:val="20"/>
          <w:szCs w:val="20"/>
          <w:highlight w:val="yellow"/>
        </w:rPr>
      </w:pPr>
    </w:p>
    <w:p w14:paraId="4AF25F66" w14:textId="7FC5BA1D" w:rsidR="00EA3540" w:rsidRDefault="00EA3540" w:rsidP="00EA3540">
      <w:pPr>
        <w:jc w:val="both"/>
        <w:rPr>
          <w:rFonts w:ascii="Arial" w:eastAsia="Times New Roman" w:hAnsi="Arial" w:cs="Arial"/>
          <w:sz w:val="20"/>
          <w:szCs w:val="20"/>
        </w:rPr>
      </w:pPr>
      <w:r w:rsidRPr="00637C44">
        <w:rPr>
          <w:rFonts w:ascii="Arial" w:eastAsia="Times New Roman" w:hAnsi="Arial" w:cs="Arial"/>
          <w:sz w:val="20"/>
          <w:szCs w:val="20"/>
        </w:rPr>
        <w:t xml:space="preserve">The Group delivered sales growth of </w:t>
      </w:r>
      <w:r>
        <w:rPr>
          <w:rFonts w:ascii="Arial" w:eastAsia="Times New Roman" w:hAnsi="Arial" w:cs="Arial"/>
          <w:sz w:val="20"/>
          <w:szCs w:val="20"/>
        </w:rPr>
        <w:t>49</w:t>
      </w:r>
      <w:r w:rsidRPr="00637C44">
        <w:rPr>
          <w:rFonts w:ascii="Arial" w:eastAsia="Times New Roman" w:hAnsi="Arial" w:cs="Arial"/>
          <w:sz w:val="20"/>
          <w:szCs w:val="20"/>
        </w:rPr>
        <w:t xml:space="preserve">% within the RoW region in the first six months of the year. Australia and Canada </w:t>
      </w:r>
      <w:r>
        <w:rPr>
          <w:rFonts w:ascii="Arial" w:eastAsia="Times New Roman" w:hAnsi="Arial" w:cs="Arial"/>
          <w:sz w:val="20"/>
          <w:szCs w:val="20"/>
        </w:rPr>
        <w:t>saw an acceleration in their growth during the period and are becoming increasingly notable markets for the Group</w:t>
      </w:r>
      <w:r w:rsidR="00A90500">
        <w:rPr>
          <w:rFonts w:ascii="Arial" w:eastAsia="Times New Roman" w:hAnsi="Arial" w:cs="Arial"/>
          <w:sz w:val="20"/>
          <w:szCs w:val="20"/>
        </w:rPr>
        <w:t>.</w:t>
      </w:r>
      <w:r>
        <w:rPr>
          <w:rFonts w:ascii="Arial" w:eastAsia="Times New Roman" w:hAnsi="Arial" w:cs="Arial"/>
          <w:sz w:val="20"/>
          <w:szCs w:val="20"/>
        </w:rPr>
        <w:t xml:space="preserve"> Within the tonic category we now have </w:t>
      </w:r>
      <w:r w:rsidR="00505CD8">
        <w:rPr>
          <w:rFonts w:ascii="Arial" w:eastAsia="Times New Roman" w:hAnsi="Arial" w:cs="Arial"/>
          <w:sz w:val="20"/>
          <w:szCs w:val="20"/>
        </w:rPr>
        <w:t xml:space="preserve">a </w:t>
      </w:r>
      <w:r w:rsidR="005955D0" w:rsidRPr="005955D0">
        <w:rPr>
          <w:rFonts w:ascii="Arial" w:eastAsia="Times New Roman" w:hAnsi="Arial" w:cs="Arial"/>
          <w:sz w:val="20"/>
          <w:szCs w:val="20"/>
        </w:rPr>
        <w:t>23</w:t>
      </w:r>
      <w:r w:rsidRPr="005955D0">
        <w:rPr>
          <w:rFonts w:ascii="Arial" w:eastAsia="Times New Roman" w:hAnsi="Arial" w:cs="Arial"/>
          <w:sz w:val="20"/>
          <w:szCs w:val="20"/>
        </w:rPr>
        <w:t>%</w:t>
      </w:r>
      <w:r>
        <w:rPr>
          <w:rFonts w:ascii="Arial" w:eastAsia="Times New Roman" w:hAnsi="Arial" w:cs="Arial"/>
          <w:sz w:val="20"/>
          <w:szCs w:val="20"/>
        </w:rPr>
        <w:t xml:space="preserve"> </w:t>
      </w:r>
      <w:r w:rsidR="00505CD8">
        <w:rPr>
          <w:rFonts w:ascii="Arial" w:eastAsia="Times New Roman" w:hAnsi="Arial" w:cs="Arial"/>
          <w:sz w:val="20"/>
          <w:szCs w:val="20"/>
        </w:rPr>
        <w:t xml:space="preserve">value </w:t>
      </w:r>
      <w:r>
        <w:rPr>
          <w:rFonts w:ascii="Arial" w:eastAsia="Times New Roman" w:hAnsi="Arial" w:cs="Arial"/>
          <w:sz w:val="20"/>
          <w:szCs w:val="20"/>
        </w:rPr>
        <w:t xml:space="preserve">share in </w:t>
      </w:r>
      <w:r w:rsidR="005955D0">
        <w:rPr>
          <w:rFonts w:ascii="Arial" w:eastAsia="Times New Roman" w:hAnsi="Arial" w:cs="Arial"/>
          <w:sz w:val="20"/>
          <w:szCs w:val="20"/>
        </w:rPr>
        <w:t>both markets</w:t>
      </w:r>
      <w:r>
        <w:rPr>
          <w:rFonts w:ascii="Arial" w:eastAsia="Times New Roman" w:hAnsi="Arial" w:cs="Arial"/>
          <w:sz w:val="20"/>
          <w:szCs w:val="20"/>
        </w:rPr>
        <w:t xml:space="preserve"> and in each we are driving over two thirds of the category growth.</w:t>
      </w:r>
    </w:p>
    <w:p w14:paraId="4F42B913" w14:textId="77777777" w:rsidR="00EA3540" w:rsidRDefault="00EA3540" w:rsidP="00EA3540">
      <w:pPr>
        <w:jc w:val="both"/>
        <w:rPr>
          <w:rFonts w:ascii="Arial" w:eastAsia="Times New Roman" w:hAnsi="Arial" w:cs="Arial"/>
          <w:sz w:val="20"/>
          <w:szCs w:val="20"/>
        </w:rPr>
      </w:pPr>
    </w:p>
    <w:p w14:paraId="4DC2F2C1" w14:textId="0D17598C" w:rsidR="00EA3540" w:rsidRDefault="00EA3540" w:rsidP="00EA3540">
      <w:pPr>
        <w:jc w:val="both"/>
        <w:rPr>
          <w:rFonts w:ascii="Arial" w:eastAsia="Times New Roman" w:hAnsi="Arial" w:cs="Arial"/>
          <w:sz w:val="20"/>
          <w:szCs w:val="20"/>
        </w:rPr>
      </w:pPr>
      <w:r>
        <w:rPr>
          <w:rFonts w:ascii="Arial" w:eastAsia="Times New Roman" w:hAnsi="Arial" w:cs="Arial"/>
          <w:sz w:val="20"/>
          <w:szCs w:val="20"/>
        </w:rPr>
        <w:t>We</w:t>
      </w:r>
      <w:r w:rsidRPr="00637C44">
        <w:rPr>
          <w:rFonts w:ascii="Arial" w:eastAsia="Times New Roman" w:hAnsi="Arial" w:cs="Arial"/>
          <w:sz w:val="20"/>
          <w:szCs w:val="20"/>
        </w:rPr>
        <w:t xml:space="preserve"> </w:t>
      </w:r>
      <w:r>
        <w:rPr>
          <w:rFonts w:ascii="Arial" w:eastAsia="Times New Roman" w:hAnsi="Arial" w:cs="Arial"/>
          <w:sz w:val="20"/>
          <w:szCs w:val="20"/>
        </w:rPr>
        <w:t>have notably increased our personnel resource</w:t>
      </w:r>
      <w:r w:rsidR="00A90500">
        <w:rPr>
          <w:rFonts w:ascii="Arial" w:eastAsia="Times New Roman" w:hAnsi="Arial" w:cs="Arial"/>
          <w:sz w:val="20"/>
          <w:szCs w:val="20"/>
        </w:rPr>
        <w:t>,</w:t>
      </w:r>
      <w:r>
        <w:rPr>
          <w:rFonts w:ascii="Arial" w:eastAsia="Times New Roman" w:hAnsi="Arial" w:cs="Arial"/>
          <w:sz w:val="20"/>
          <w:szCs w:val="20"/>
        </w:rPr>
        <w:t xml:space="preserve"> adding dedicated senior managers in Australia and Canada. We </w:t>
      </w:r>
      <w:r w:rsidRPr="00637C44">
        <w:rPr>
          <w:rFonts w:ascii="Arial" w:eastAsia="Times New Roman" w:hAnsi="Arial" w:cs="Arial"/>
          <w:sz w:val="20"/>
          <w:szCs w:val="20"/>
        </w:rPr>
        <w:t>have</w:t>
      </w:r>
      <w:r>
        <w:rPr>
          <w:rFonts w:ascii="Arial" w:eastAsia="Times New Roman" w:hAnsi="Arial" w:cs="Arial"/>
          <w:sz w:val="20"/>
          <w:szCs w:val="20"/>
        </w:rPr>
        <w:t xml:space="preserve"> also</w:t>
      </w:r>
      <w:r w:rsidRPr="00637C44">
        <w:rPr>
          <w:rFonts w:ascii="Arial" w:eastAsia="Times New Roman" w:hAnsi="Arial" w:cs="Arial"/>
          <w:sz w:val="20"/>
          <w:szCs w:val="20"/>
        </w:rPr>
        <w:t xml:space="preserve"> recently appointed a</w:t>
      </w:r>
      <w:r>
        <w:rPr>
          <w:rFonts w:ascii="Arial" w:eastAsia="Times New Roman" w:hAnsi="Arial" w:cs="Arial"/>
          <w:sz w:val="20"/>
          <w:szCs w:val="20"/>
        </w:rPr>
        <w:t xml:space="preserve">n experienced </w:t>
      </w:r>
      <w:r w:rsidRPr="00637C44">
        <w:rPr>
          <w:rFonts w:ascii="Arial" w:eastAsia="Times New Roman" w:hAnsi="Arial" w:cs="Arial"/>
          <w:sz w:val="20"/>
          <w:szCs w:val="20"/>
        </w:rPr>
        <w:t>regional director for Asi</w:t>
      </w:r>
      <w:r>
        <w:rPr>
          <w:rFonts w:ascii="Arial" w:eastAsia="Times New Roman" w:hAnsi="Arial" w:cs="Arial"/>
          <w:sz w:val="20"/>
          <w:szCs w:val="20"/>
        </w:rPr>
        <w:t xml:space="preserve">a, a reflection of the </w:t>
      </w:r>
      <w:r w:rsidRPr="00637C44">
        <w:rPr>
          <w:rFonts w:ascii="Arial" w:eastAsia="Times New Roman" w:hAnsi="Arial" w:cs="Arial"/>
          <w:sz w:val="20"/>
          <w:szCs w:val="20"/>
        </w:rPr>
        <w:t>significant potential</w:t>
      </w:r>
      <w:r>
        <w:rPr>
          <w:rFonts w:ascii="Arial" w:eastAsia="Times New Roman" w:hAnsi="Arial" w:cs="Arial"/>
          <w:sz w:val="20"/>
          <w:szCs w:val="20"/>
        </w:rPr>
        <w:t xml:space="preserve"> we see within this region</w:t>
      </w:r>
      <w:r w:rsidRPr="00637C44">
        <w:rPr>
          <w:rFonts w:ascii="Arial" w:eastAsia="Times New Roman" w:hAnsi="Arial" w:cs="Arial"/>
          <w:sz w:val="20"/>
          <w:szCs w:val="20"/>
        </w:rPr>
        <w:t xml:space="preserve"> over the medium to longer term. </w:t>
      </w:r>
    </w:p>
    <w:p w14:paraId="4AE7C2AF" w14:textId="77777777" w:rsidR="00EA3540" w:rsidRDefault="00EA3540" w:rsidP="00EA3540">
      <w:pPr>
        <w:jc w:val="both"/>
        <w:rPr>
          <w:rFonts w:ascii="Arial" w:eastAsia="Times New Roman" w:hAnsi="Arial" w:cs="Arial"/>
          <w:sz w:val="20"/>
          <w:szCs w:val="20"/>
        </w:rPr>
      </w:pPr>
    </w:p>
    <w:p w14:paraId="1ACC2053" w14:textId="450B8840" w:rsidR="00EA3540" w:rsidRDefault="00EA3540" w:rsidP="00EA3540">
      <w:pPr>
        <w:spacing w:after="160" w:line="259" w:lineRule="auto"/>
        <w:rPr>
          <w:rFonts w:ascii="Arial" w:hAnsi="Arial" w:cs="Arial"/>
          <w:b/>
          <w:sz w:val="20"/>
          <w:szCs w:val="20"/>
        </w:rPr>
      </w:pPr>
    </w:p>
    <w:p w14:paraId="6676CD66" w14:textId="76B2AD33" w:rsidR="00045AC0" w:rsidRDefault="00045AC0" w:rsidP="00EA3540">
      <w:pPr>
        <w:spacing w:after="160" w:line="259" w:lineRule="auto"/>
        <w:rPr>
          <w:rFonts w:ascii="Arial" w:hAnsi="Arial" w:cs="Arial"/>
          <w:b/>
          <w:sz w:val="20"/>
          <w:szCs w:val="20"/>
        </w:rPr>
      </w:pPr>
    </w:p>
    <w:p w14:paraId="3FAB73FD" w14:textId="2F8D917E" w:rsidR="00045AC0" w:rsidRDefault="00045AC0" w:rsidP="00EA3540">
      <w:pPr>
        <w:spacing w:after="160" w:line="259" w:lineRule="auto"/>
        <w:rPr>
          <w:rFonts w:ascii="Arial" w:hAnsi="Arial" w:cs="Arial"/>
          <w:b/>
          <w:sz w:val="20"/>
          <w:szCs w:val="20"/>
        </w:rPr>
      </w:pPr>
    </w:p>
    <w:p w14:paraId="65136DC8" w14:textId="356777C9" w:rsidR="00045AC0" w:rsidRDefault="00045AC0" w:rsidP="00EA3540">
      <w:pPr>
        <w:spacing w:after="160" w:line="259" w:lineRule="auto"/>
        <w:rPr>
          <w:rFonts w:ascii="Arial" w:hAnsi="Arial" w:cs="Arial"/>
          <w:b/>
          <w:sz w:val="20"/>
          <w:szCs w:val="20"/>
        </w:rPr>
      </w:pPr>
    </w:p>
    <w:p w14:paraId="5D6B2399" w14:textId="72418CA8" w:rsidR="00045AC0" w:rsidRDefault="00045AC0" w:rsidP="00EA3540">
      <w:pPr>
        <w:spacing w:after="160" w:line="259" w:lineRule="auto"/>
        <w:rPr>
          <w:rFonts w:ascii="Arial" w:hAnsi="Arial" w:cs="Arial"/>
          <w:b/>
          <w:sz w:val="20"/>
          <w:szCs w:val="20"/>
        </w:rPr>
      </w:pPr>
    </w:p>
    <w:p w14:paraId="57BDEE55" w14:textId="2C6D22E6" w:rsidR="00045AC0" w:rsidRDefault="00045AC0" w:rsidP="00EA3540">
      <w:pPr>
        <w:spacing w:after="160" w:line="259" w:lineRule="auto"/>
        <w:rPr>
          <w:rFonts w:ascii="Arial" w:hAnsi="Arial" w:cs="Arial"/>
          <w:b/>
          <w:sz w:val="20"/>
          <w:szCs w:val="20"/>
        </w:rPr>
      </w:pPr>
    </w:p>
    <w:p w14:paraId="71E09A3B" w14:textId="77777777" w:rsidR="00045AC0" w:rsidRDefault="00045AC0" w:rsidP="00EA3540">
      <w:pPr>
        <w:spacing w:after="160" w:line="259" w:lineRule="auto"/>
        <w:rPr>
          <w:rFonts w:ascii="Arial" w:hAnsi="Arial" w:cs="Arial"/>
          <w:b/>
          <w:sz w:val="20"/>
          <w:szCs w:val="20"/>
        </w:rPr>
      </w:pPr>
    </w:p>
    <w:p w14:paraId="16FDCA7D" w14:textId="77777777" w:rsidR="00C61AEA" w:rsidRDefault="00C61AEA" w:rsidP="00EA3540">
      <w:pPr>
        <w:spacing w:after="160" w:line="259" w:lineRule="auto"/>
        <w:rPr>
          <w:rFonts w:ascii="Arial" w:hAnsi="Arial" w:cs="Arial"/>
          <w:b/>
          <w:sz w:val="20"/>
          <w:szCs w:val="20"/>
        </w:rPr>
        <w:sectPr w:rsidR="00C61AEA" w:rsidSect="00B82B88">
          <w:pgSz w:w="11900" w:h="16840"/>
          <w:pgMar w:top="1440" w:right="1440" w:bottom="1440" w:left="1440" w:header="708" w:footer="708" w:gutter="0"/>
          <w:cols w:space="720"/>
          <w:titlePg/>
          <w:docGrid w:linePitch="326"/>
        </w:sectPr>
      </w:pPr>
    </w:p>
    <w:p w14:paraId="2400D158" w14:textId="17619E2C" w:rsidR="00EA3540" w:rsidRPr="00917864" w:rsidRDefault="00EA3540" w:rsidP="00EA3540">
      <w:pPr>
        <w:spacing w:after="160" w:line="259" w:lineRule="auto"/>
        <w:rPr>
          <w:rFonts w:ascii="Arial" w:hAnsi="Arial" w:cs="Arial"/>
          <w:b/>
          <w:sz w:val="20"/>
          <w:szCs w:val="20"/>
        </w:rPr>
      </w:pPr>
      <w:r w:rsidRPr="00917864">
        <w:rPr>
          <w:rFonts w:ascii="Arial" w:hAnsi="Arial" w:cs="Arial"/>
          <w:b/>
          <w:sz w:val="20"/>
          <w:szCs w:val="20"/>
        </w:rPr>
        <w:t>Financial and Operational</w:t>
      </w:r>
    </w:p>
    <w:p w14:paraId="4E6BD17E" w14:textId="77777777" w:rsidR="00EA3540" w:rsidRPr="00917864" w:rsidRDefault="00EA3540" w:rsidP="00EA3540">
      <w:pPr>
        <w:jc w:val="both"/>
        <w:rPr>
          <w:rFonts w:ascii="Arial" w:hAnsi="Arial" w:cs="Arial"/>
          <w:b/>
          <w:sz w:val="20"/>
          <w:szCs w:val="20"/>
        </w:rPr>
      </w:pPr>
      <w:r w:rsidRPr="00917864">
        <w:rPr>
          <w:rFonts w:ascii="Arial" w:hAnsi="Arial" w:cs="Arial"/>
          <w:b/>
          <w:sz w:val="20"/>
          <w:szCs w:val="20"/>
        </w:rPr>
        <w:t>Gross margin and operating expenses</w:t>
      </w:r>
    </w:p>
    <w:p w14:paraId="1950B547" w14:textId="77777777" w:rsidR="00EA3540" w:rsidRPr="00C95A8D" w:rsidRDefault="00EA3540" w:rsidP="00EA3540">
      <w:pPr>
        <w:jc w:val="both"/>
        <w:rPr>
          <w:rFonts w:ascii="Arial" w:hAnsi="Arial" w:cs="Arial"/>
          <w:sz w:val="20"/>
          <w:szCs w:val="20"/>
        </w:rPr>
      </w:pPr>
    </w:p>
    <w:p w14:paraId="48472ADA" w14:textId="0311354B" w:rsidR="00EA3540" w:rsidRDefault="00EA3540" w:rsidP="00EA3540">
      <w:pPr>
        <w:jc w:val="both"/>
        <w:rPr>
          <w:rFonts w:ascii="Arial" w:hAnsi="Arial" w:cs="Arial"/>
          <w:sz w:val="20"/>
          <w:szCs w:val="20"/>
        </w:rPr>
      </w:pPr>
      <w:r>
        <w:rPr>
          <w:rFonts w:ascii="Arial" w:hAnsi="Arial" w:cs="Arial"/>
          <w:sz w:val="20"/>
          <w:szCs w:val="20"/>
        </w:rPr>
        <w:t>G</w:t>
      </w:r>
      <w:r w:rsidRPr="00C95A8D">
        <w:rPr>
          <w:rFonts w:ascii="Arial" w:hAnsi="Arial" w:cs="Arial"/>
          <w:sz w:val="20"/>
          <w:szCs w:val="20"/>
        </w:rPr>
        <w:t>ross margin</w:t>
      </w:r>
      <w:r>
        <w:rPr>
          <w:rFonts w:ascii="Arial" w:hAnsi="Arial" w:cs="Arial"/>
          <w:sz w:val="20"/>
          <w:szCs w:val="20"/>
        </w:rPr>
        <w:t xml:space="preserve"> of 51.9% </w:t>
      </w:r>
      <w:r w:rsidRPr="00C95A8D">
        <w:rPr>
          <w:rFonts w:ascii="Arial" w:hAnsi="Arial" w:cs="Arial"/>
          <w:sz w:val="20"/>
          <w:szCs w:val="20"/>
        </w:rPr>
        <w:t xml:space="preserve">is in line with </w:t>
      </w:r>
      <w:r>
        <w:rPr>
          <w:rFonts w:ascii="Arial" w:hAnsi="Arial" w:cs="Arial"/>
          <w:sz w:val="20"/>
          <w:szCs w:val="20"/>
        </w:rPr>
        <w:t>the full year 2018 gross margin</w:t>
      </w:r>
      <w:r w:rsidR="00F97386">
        <w:rPr>
          <w:rFonts w:ascii="Arial" w:hAnsi="Arial" w:cs="Arial"/>
          <w:sz w:val="20"/>
          <w:szCs w:val="20"/>
        </w:rPr>
        <w:t>;</w:t>
      </w:r>
      <w:r>
        <w:rPr>
          <w:rFonts w:ascii="Arial" w:hAnsi="Arial" w:cs="Arial"/>
          <w:sz w:val="20"/>
          <w:szCs w:val="20"/>
        </w:rPr>
        <w:t xml:space="preserve"> however, as expected it has retracted from the 53.2% gross margin reported in the first half of 2018.  A full six months of the pass through of the UK sugar tax had a dilutive impact on our percentage gross margin compared to the first half of 2018</w:t>
      </w:r>
      <w:r w:rsidR="005955D0">
        <w:rPr>
          <w:rFonts w:ascii="Arial" w:hAnsi="Arial" w:cs="Arial"/>
          <w:sz w:val="20"/>
          <w:szCs w:val="20"/>
        </w:rPr>
        <w:t>. Alongside this, there has been an increase in underlying UK glass costs, as well as increased storage costs arising from elevated levels of inventory in the UK and growing levels of inventory in the USA as we underpin future growth in that region. These factors have been partially mitigated by net positive foreign currency movements, most notably a strengthening dollar, as well as the release of a portion of our German returnable bottle deposit provision following the change to an agency model in that country.</w:t>
      </w:r>
    </w:p>
    <w:p w14:paraId="6D43C0AA" w14:textId="77777777" w:rsidR="00EA3540" w:rsidRDefault="00EA3540" w:rsidP="00EA3540">
      <w:pPr>
        <w:jc w:val="both"/>
        <w:rPr>
          <w:rFonts w:ascii="Arial" w:hAnsi="Arial" w:cs="Arial"/>
          <w:sz w:val="20"/>
          <w:szCs w:val="20"/>
        </w:rPr>
      </w:pPr>
    </w:p>
    <w:p w14:paraId="5B4320EF" w14:textId="259C3895" w:rsidR="00EA3540" w:rsidRDefault="00EA3540" w:rsidP="00EA3540">
      <w:pPr>
        <w:jc w:val="both"/>
        <w:rPr>
          <w:rFonts w:ascii="Arial" w:hAnsi="Arial" w:cs="Arial"/>
          <w:sz w:val="20"/>
          <w:szCs w:val="20"/>
        </w:rPr>
      </w:pPr>
      <w:r>
        <w:rPr>
          <w:rFonts w:ascii="Arial" w:hAnsi="Arial" w:cs="Arial"/>
          <w:sz w:val="20"/>
          <w:szCs w:val="20"/>
        </w:rPr>
        <w:t>Underlying operating expenses</w:t>
      </w:r>
      <w:r w:rsidR="00AA08FE">
        <w:rPr>
          <w:rStyle w:val="ha"/>
          <w:rFonts w:ascii="Arial" w:hAnsi="Arial" w:cs="Arial"/>
          <w:color w:val="000000"/>
          <w:sz w:val="16"/>
          <w:szCs w:val="16"/>
          <w:vertAlign w:val="superscript"/>
        </w:rPr>
        <w:t>1</w:t>
      </w:r>
      <w:r>
        <w:rPr>
          <w:rFonts w:ascii="Arial" w:hAnsi="Arial" w:cs="Arial"/>
          <w:sz w:val="20"/>
          <w:szCs w:val="20"/>
        </w:rPr>
        <w:t xml:space="preserve"> were 20.6% of revenue during the period, in line with the first half of 2018 (H1 2018: 20.6%).  Within this, whilst we continue to gain efficiencies on our central overheads, we have increased our investment</w:t>
      </w:r>
      <w:r w:rsidR="005955D0">
        <w:rPr>
          <w:rFonts w:ascii="Arial" w:hAnsi="Arial" w:cs="Arial"/>
          <w:sz w:val="20"/>
          <w:szCs w:val="20"/>
        </w:rPr>
        <w:t>, particularly</w:t>
      </w:r>
      <w:r>
        <w:rPr>
          <w:rFonts w:ascii="Arial" w:hAnsi="Arial" w:cs="Arial"/>
          <w:sz w:val="20"/>
          <w:szCs w:val="20"/>
        </w:rPr>
        <w:t xml:space="preserve"> in Europe and the US, most notably in</w:t>
      </w:r>
      <w:r w:rsidR="005955D0">
        <w:rPr>
          <w:rFonts w:ascii="Arial" w:hAnsi="Arial" w:cs="Arial"/>
          <w:sz w:val="20"/>
          <w:szCs w:val="20"/>
        </w:rPr>
        <w:t xml:space="preserve"> marketing and</w:t>
      </w:r>
      <w:r>
        <w:rPr>
          <w:rFonts w:ascii="Arial" w:hAnsi="Arial" w:cs="Arial"/>
          <w:sz w:val="20"/>
          <w:szCs w:val="20"/>
        </w:rPr>
        <w:t xml:space="preserve"> staff costs.  As a result, the Group generated adjusted EBITDA of £36.7m representing a margin of 31.3% (H1 2018: 32.6%).</w:t>
      </w:r>
    </w:p>
    <w:p w14:paraId="39534F4F" w14:textId="77777777" w:rsidR="00EA3540" w:rsidRDefault="00EA3540" w:rsidP="00EA3540">
      <w:pPr>
        <w:jc w:val="both"/>
        <w:rPr>
          <w:rFonts w:ascii="Arial" w:hAnsi="Arial" w:cs="Arial"/>
          <w:sz w:val="20"/>
          <w:szCs w:val="20"/>
        </w:rPr>
      </w:pPr>
    </w:p>
    <w:p w14:paraId="4C166569" w14:textId="77777777" w:rsidR="00EA3540" w:rsidRPr="007E5CD1" w:rsidRDefault="00EA3540" w:rsidP="00EA3540">
      <w:pPr>
        <w:jc w:val="both"/>
        <w:rPr>
          <w:rFonts w:ascii="Arial" w:hAnsi="Arial" w:cs="Arial"/>
          <w:b/>
          <w:sz w:val="20"/>
          <w:szCs w:val="20"/>
          <w:highlight w:val="yellow"/>
        </w:rPr>
      </w:pPr>
      <w:r>
        <w:rPr>
          <w:rFonts w:ascii="Arial" w:hAnsi="Arial" w:cs="Arial"/>
          <w:b/>
          <w:sz w:val="20"/>
          <w:szCs w:val="20"/>
        </w:rPr>
        <w:t>Balance Sheet</w:t>
      </w:r>
    </w:p>
    <w:p w14:paraId="123D5393" w14:textId="77777777" w:rsidR="00EA3540" w:rsidRPr="0028462D" w:rsidRDefault="00EA3540" w:rsidP="00EA3540">
      <w:pPr>
        <w:jc w:val="both"/>
        <w:rPr>
          <w:rFonts w:ascii="Arial" w:hAnsi="Arial" w:cs="Arial"/>
          <w:i/>
          <w:sz w:val="20"/>
          <w:szCs w:val="20"/>
          <w:highlight w:val="yellow"/>
        </w:rPr>
      </w:pPr>
    </w:p>
    <w:p w14:paraId="55BBED7E" w14:textId="77777777" w:rsidR="00EA3540" w:rsidRDefault="00EA3540" w:rsidP="00EA3540">
      <w:pPr>
        <w:jc w:val="both"/>
        <w:rPr>
          <w:rFonts w:ascii="Arial" w:hAnsi="Arial" w:cs="Arial"/>
          <w:sz w:val="20"/>
          <w:szCs w:val="20"/>
        </w:rPr>
      </w:pPr>
      <w:r>
        <w:rPr>
          <w:rFonts w:ascii="Arial" w:hAnsi="Arial" w:cs="Arial"/>
          <w:sz w:val="20"/>
          <w:szCs w:val="20"/>
        </w:rPr>
        <w:t>The Group hel</w:t>
      </w:r>
      <w:r w:rsidRPr="0028462D">
        <w:rPr>
          <w:rFonts w:ascii="Arial" w:hAnsi="Arial" w:cs="Arial"/>
          <w:sz w:val="20"/>
          <w:szCs w:val="20"/>
        </w:rPr>
        <w:t>d cash of £</w:t>
      </w:r>
      <w:r>
        <w:rPr>
          <w:rFonts w:ascii="Arial" w:hAnsi="Arial" w:cs="Arial"/>
          <w:sz w:val="20"/>
          <w:szCs w:val="20"/>
        </w:rPr>
        <w:t>104.1m</w:t>
      </w:r>
      <w:r w:rsidRPr="0028462D">
        <w:rPr>
          <w:rFonts w:ascii="Arial" w:hAnsi="Arial" w:cs="Arial"/>
          <w:sz w:val="20"/>
          <w:szCs w:val="20"/>
        </w:rPr>
        <w:t xml:space="preserve"> at </w:t>
      </w:r>
      <w:r>
        <w:rPr>
          <w:rFonts w:ascii="Arial" w:hAnsi="Arial" w:cs="Arial"/>
          <w:sz w:val="20"/>
          <w:szCs w:val="20"/>
        </w:rPr>
        <w:t xml:space="preserve">the </w:t>
      </w:r>
      <w:r w:rsidRPr="0028462D">
        <w:rPr>
          <w:rFonts w:ascii="Arial" w:hAnsi="Arial" w:cs="Arial"/>
          <w:sz w:val="20"/>
          <w:szCs w:val="20"/>
        </w:rPr>
        <w:t>period end (H1 201</w:t>
      </w:r>
      <w:r>
        <w:rPr>
          <w:rFonts w:ascii="Arial" w:hAnsi="Arial" w:cs="Arial"/>
          <w:sz w:val="20"/>
          <w:szCs w:val="20"/>
        </w:rPr>
        <w:t>8</w:t>
      </w:r>
      <w:r w:rsidRPr="0028462D">
        <w:rPr>
          <w:rFonts w:ascii="Arial" w:hAnsi="Arial" w:cs="Arial"/>
          <w:sz w:val="20"/>
          <w:szCs w:val="20"/>
        </w:rPr>
        <w:t>: £</w:t>
      </w:r>
      <w:r>
        <w:rPr>
          <w:rFonts w:ascii="Arial" w:hAnsi="Arial" w:cs="Arial"/>
          <w:sz w:val="20"/>
          <w:szCs w:val="20"/>
        </w:rPr>
        <w:t>62</w:t>
      </w:r>
      <w:r w:rsidRPr="0028462D">
        <w:rPr>
          <w:rFonts w:ascii="Arial" w:hAnsi="Arial" w:cs="Arial"/>
          <w:sz w:val="20"/>
          <w:szCs w:val="20"/>
        </w:rPr>
        <w:t xml:space="preserve">.5m), </w:t>
      </w:r>
      <w:r>
        <w:rPr>
          <w:rFonts w:ascii="Arial" w:hAnsi="Arial" w:cs="Arial"/>
          <w:sz w:val="20"/>
          <w:szCs w:val="20"/>
        </w:rPr>
        <w:t>following the repayment of £6.1m of bank loans during the first half.  Pre-tax o</w:t>
      </w:r>
      <w:r w:rsidRPr="0028462D">
        <w:rPr>
          <w:rFonts w:ascii="Arial" w:hAnsi="Arial" w:cs="Arial"/>
          <w:sz w:val="20"/>
          <w:szCs w:val="20"/>
        </w:rPr>
        <w:t>perating</w:t>
      </w:r>
      <w:r>
        <w:rPr>
          <w:rFonts w:ascii="Arial" w:hAnsi="Arial" w:cs="Arial"/>
          <w:sz w:val="20"/>
          <w:szCs w:val="20"/>
        </w:rPr>
        <w:t xml:space="preserve"> cash flow in the period was </w:t>
      </w:r>
      <w:r w:rsidRPr="00A13910">
        <w:rPr>
          <w:rFonts w:ascii="Arial" w:hAnsi="Arial" w:cs="Arial"/>
          <w:sz w:val="20"/>
          <w:szCs w:val="20"/>
        </w:rPr>
        <w:t>10</w:t>
      </w:r>
      <w:r>
        <w:rPr>
          <w:rFonts w:ascii="Arial" w:hAnsi="Arial" w:cs="Arial"/>
          <w:sz w:val="20"/>
          <w:szCs w:val="20"/>
        </w:rPr>
        <w:t>6</w:t>
      </w:r>
      <w:r w:rsidRPr="00A13910">
        <w:rPr>
          <w:rFonts w:ascii="Arial" w:hAnsi="Arial" w:cs="Arial"/>
          <w:sz w:val="20"/>
          <w:szCs w:val="20"/>
        </w:rPr>
        <w:t>%</w:t>
      </w:r>
      <w:r w:rsidRPr="008D150E">
        <w:rPr>
          <w:rFonts w:ascii="Arial" w:hAnsi="Arial" w:cs="Arial"/>
          <w:sz w:val="20"/>
          <w:szCs w:val="20"/>
        </w:rPr>
        <w:t xml:space="preserve"> </w:t>
      </w:r>
      <w:r w:rsidRPr="0028462D">
        <w:rPr>
          <w:rFonts w:ascii="Arial" w:hAnsi="Arial" w:cs="Arial"/>
          <w:sz w:val="20"/>
          <w:szCs w:val="20"/>
        </w:rPr>
        <w:t>of adjusted EBITDA (H1 201</w:t>
      </w:r>
      <w:r>
        <w:rPr>
          <w:rFonts w:ascii="Arial" w:hAnsi="Arial" w:cs="Arial"/>
          <w:sz w:val="20"/>
          <w:szCs w:val="20"/>
        </w:rPr>
        <w:t>8</w:t>
      </w:r>
      <w:r w:rsidRPr="0028462D">
        <w:rPr>
          <w:rFonts w:ascii="Arial" w:hAnsi="Arial" w:cs="Arial"/>
          <w:sz w:val="20"/>
          <w:szCs w:val="20"/>
        </w:rPr>
        <w:t xml:space="preserve">: </w:t>
      </w:r>
      <w:r w:rsidRPr="00A13910">
        <w:rPr>
          <w:rFonts w:ascii="Arial" w:hAnsi="Arial" w:cs="Arial"/>
          <w:sz w:val="20"/>
          <w:szCs w:val="20"/>
        </w:rPr>
        <w:t>60%).</w:t>
      </w:r>
      <w:r>
        <w:rPr>
          <w:rFonts w:ascii="Arial" w:hAnsi="Arial" w:cs="Arial"/>
          <w:sz w:val="20"/>
          <w:szCs w:val="20"/>
        </w:rPr>
        <w:t xml:space="preserve">  The increase in operating cash flow conversion is a reflection of a reduced level of working capital at period end</w:t>
      </w:r>
      <w:r w:rsidRPr="0028462D">
        <w:rPr>
          <w:rFonts w:ascii="Arial" w:hAnsi="Arial" w:cs="Arial"/>
          <w:sz w:val="20"/>
          <w:szCs w:val="20"/>
        </w:rPr>
        <w:t>.</w:t>
      </w:r>
    </w:p>
    <w:p w14:paraId="2592D25E" w14:textId="77777777" w:rsidR="00EA3540" w:rsidRDefault="00EA3540" w:rsidP="00EA3540">
      <w:pPr>
        <w:jc w:val="both"/>
        <w:rPr>
          <w:rFonts w:ascii="Arial" w:hAnsi="Arial" w:cs="Arial"/>
          <w:sz w:val="20"/>
          <w:szCs w:val="20"/>
        </w:rPr>
      </w:pPr>
    </w:p>
    <w:p w14:paraId="0C9D2097" w14:textId="58DC3D09" w:rsidR="00EA3540" w:rsidRDefault="00EA3540" w:rsidP="00EA3540">
      <w:pPr>
        <w:jc w:val="both"/>
        <w:rPr>
          <w:rFonts w:ascii="Arial" w:hAnsi="Arial" w:cs="Arial"/>
          <w:sz w:val="20"/>
          <w:szCs w:val="20"/>
        </w:rPr>
      </w:pPr>
      <w:r>
        <w:rPr>
          <w:rFonts w:ascii="Arial" w:hAnsi="Arial" w:cs="Arial"/>
          <w:sz w:val="20"/>
          <w:szCs w:val="20"/>
        </w:rPr>
        <w:t>The cash balance and high operating cash flow conversion provides the Group with a strong platform, allowing for the opportunity to increase investment at the appropriate stage whilst also allowing the Group to remain agile and take advantage of opportunities as they arise, providing further advantage over many of our competitors globally.</w:t>
      </w:r>
    </w:p>
    <w:p w14:paraId="02F7FC6D" w14:textId="77777777" w:rsidR="00EA3540" w:rsidRDefault="00EA3540" w:rsidP="00EA3540">
      <w:pPr>
        <w:jc w:val="both"/>
        <w:rPr>
          <w:rFonts w:ascii="Arial" w:hAnsi="Arial" w:cs="Arial"/>
          <w:sz w:val="20"/>
          <w:szCs w:val="20"/>
        </w:rPr>
      </w:pPr>
    </w:p>
    <w:p w14:paraId="7E9BA494" w14:textId="6DE3539C" w:rsidR="00EA3540" w:rsidRPr="00687494" w:rsidRDefault="00EA3540" w:rsidP="00EA3540">
      <w:pPr>
        <w:jc w:val="both"/>
        <w:rPr>
          <w:rFonts w:ascii="Arial" w:hAnsi="Arial" w:cs="Arial"/>
          <w:color w:val="FF0000"/>
          <w:sz w:val="20"/>
          <w:szCs w:val="20"/>
        </w:rPr>
      </w:pPr>
      <w:r>
        <w:rPr>
          <w:rFonts w:ascii="Arial" w:hAnsi="Arial" w:cs="Arial"/>
          <w:sz w:val="20"/>
          <w:szCs w:val="20"/>
        </w:rPr>
        <w:t xml:space="preserve">From </w:t>
      </w:r>
      <w:r w:rsidR="00A90500">
        <w:rPr>
          <w:rFonts w:ascii="Arial" w:hAnsi="Arial" w:cs="Arial"/>
          <w:sz w:val="20"/>
          <w:szCs w:val="20"/>
        </w:rPr>
        <w:t xml:space="preserve">1 </w:t>
      </w:r>
      <w:r>
        <w:rPr>
          <w:rFonts w:ascii="Arial" w:hAnsi="Arial" w:cs="Arial"/>
          <w:sz w:val="20"/>
          <w:szCs w:val="20"/>
        </w:rPr>
        <w:t>January 2019 the Group has adopted IFRS 16.  As a result, at period end we are carrying £1.9m of right of use non-current assets on our balance sheet, representing the leased offices in London and New York as well as our leased vehicles.  The corresponding lease liability is £2.0m</w:t>
      </w:r>
      <w:r w:rsidR="00045AC0">
        <w:rPr>
          <w:rFonts w:ascii="Arial" w:hAnsi="Arial" w:cs="Arial"/>
          <w:sz w:val="20"/>
          <w:szCs w:val="20"/>
        </w:rPr>
        <w:t>, with £0.6m held in current liabilities and £1.4m held in non-current liabilities.</w:t>
      </w:r>
    </w:p>
    <w:p w14:paraId="3405D0CF" w14:textId="77777777" w:rsidR="00EA3540" w:rsidRDefault="00EA3540" w:rsidP="00EA3540">
      <w:pPr>
        <w:jc w:val="both"/>
        <w:rPr>
          <w:rFonts w:ascii="Arial" w:hAnsi="Arial" w:cs="Arial"/>
          <w:sz w:val="20"/>
          <w:szCs w:val="20"/>
          <w:highlight w:val="yellow"/>
        </w:rPr>
      </w:pPr>
    </w:p>
    <w:p w14:paraId="5E285629" w14:textId="77777777" w:rsidR="00EA3540" w:rsidRDefault="00EA3540" w:rsidP="00EA3540">
      <w:pPr>
        <w:rPr>
          <w:rFonts w:ascii="Arial" w:hAnsi="Arial" w:cs="Arial"/>
          <w:b/>
          <w:sz w:val="20"/>
          <w:szCs w:val="20"/>
        </w:rPr>
      </w:pPr>
      <w:r>
        <w:rPr>
          <w:rFonts w:ascii="Arial" w:hAnsi="Arial" w:cs="Arial"/>
          <w:b/>
          <w:sz w:val="20"/>
          <w:szCs w:val="20"/>
        </w:rPr>
        <w:t>Operational review</w:t>
      </w:r>
    </w:p>
    <w:p w14:paraId="4C7E4F3E" w14:textId="77777777" w:rsidR="00EA3540" w:rsidRDefault="00EA3540" w:rsidP="00EA3540">
      <w:pPr>
        <w:rPr>
          <w:rFonts w:ascii="Arial" w:hAnsi="Arial" w:cs="Arial"/>
          <w:b/>
          <w:sz w:val="20"/>
          <w:szCs w:val="20"/>
        </w:rPr>
      </w:pPr>
    </w:p>
    <w:p w14:paraId="24B2CA07" w14:textId="77777777" w:rsidR="00EA3540" w:rsidRDefault="00EA3540" w:rsidP="00EA3540">
      <w:pPr>
        <w:jc w:val="both"/>
        <w:rPr>
          <w:rFonts w:ascii="Arial" w:hAnsi="Arial" w:cs="Arial"/>
          <w:bCs/>
          <w:sz w:val="20"/>
          <w:szCs w:val="20"/>
        </w:rPr>
      </w:pPr>
      <w:r>
        <w:rPr>
          <w:rFonts w:ascii="Arial" w:hAnsi="Arial" w:cs="Arial"/>
          <w:bCs/>
          <w:sz w:val="20"/>
          <w:szCs w:val="20"/>
        </w:rPr>
        <w:t>Reflecting the Group’s growing global footprint, we have</w:t>
      </w:r>
      <w:r w:rsidRPr="006A727B">
        <w:rPr>
          <w:rFonts w:ascii="Arial" w:hAnsi="Arial" w:cs="Arial"/>
          <w:bCs/>
          <w:sz w:val="20"/>
          <w:szCs w:val="20"/>
        </w:rPr>
        <w:t xml:space="preserve"> continued to expand </w:t>
      </w:r>
      <w:r>
        <w:rPr>
          <w:rFonts w:ascii="Arial" w:hAnsi="Arial" w:cs="Arial"/>
          <w:bCs/>
          <w:sz w:val="20"/>
          <w:szCs w:val="20"/>
        </w:rPr>
        <w:t>our</w:t>
      </w:r>
      <w:r w:rsidRPr="006A727B">
        <w:rPr>
          <w:rFonts w:ascii="Arial" w:hAnsi="Arial" w:cs="Arial"/>
          <w:bCs/>
          <w:sz w:val="20"/>
          <w:szCs w:val="20"/>
        </w:rPr>
        <w:t xml:space="preserve"> outsourced </w:t>
      </w:r>
      <w:r>
        <w:rPr>
          <w:rFonts w:ascii="Arial" w:hAnsi="Arial" w:cs="Arial"/>
          <w:bCs/>
          <w:sz w:val="20"/>
          <w:szCs w:val="20"/>
        </w:rPr>
        <w:t xml:space="preserve">production capabilities </w:t>
      </w:r>
      <w:r w:rsidRPr="006A727B">
        <w:rPr>
          <w:rFonts w:ascii="Arial" w:hAnsi="Arial" w:cs="Arial"/>
          <w:bCs/>
          <w:sz w:val="20"/>
          <w:szCs w:val="20"/>
        </w:rPr>
        <w:t>during the period</w:t>
      </w:r>
      <w:r>
        <w:rPr>
          <w:rFonts w:ascii="Arial" w:hAnsi="Arial" w:cs="Arial"/>
          <w:bCs/>
          <w:sz w:val="20"/>
          <w:szCs w:val="20"/>
        </w:rPr>
        <w:t>.  Alongside this, further progress has also been</w:t>
      </w:r>
      <w:r w:rsidRPr="006A727B">
        <w:rPr>
          <w:rFonts w:ascii="Arial" w:hAnsi="Arial" w:cs="Arial"/>
          <w:bCs/>
          <w:sz w:val="20"/>
          <w:szCs w:val="20"/>
        </w:rPr>
        <w:t xml:space="preserve"> made in identifying a bottling partner in the US </w:t>
      </w:r>
      <w:r>
        <w:rPr>
          <w:rFonts w:ascii="Arial" w:hAnsi="Arial" w:cs="Arial"/>
          <w:bCs/>
          <w:sz w:val="20"/>
          <w:szCs w:val="20"/>
        </w:rPr>
        <w:t xml:space="preserve">as we look to underpin future growth in that region with </w:t>
      </w:r>
      <w:r w:rsidRPr="006A727B">
        <w:rPr>
          <w:rFonts w:ascii="Arial" w:hAnsi="Arial" w:cs="Arial"/>
          <w:bCs/>
          <w:sz w:val="20"/>
          <w:szCs w:val="20"/>
        </w:rPr>
        <w:t xml:space="preserve">a local </w:t>
      </w:r>
      <w:r>
        <w:rPr>
          <w:rFonts w:ascii="Arial" w:hAnsi="Arial" w:cs="Arial"/>
          <w:bCs/>
          <w:sz w:val="20"/>
          <w:szCs w:val="20"/>
        </w:rPr>
        <w:t>bottling partner at the appropriate stage.</w:t>
      </w:r>
    </w:p>
    <w:p w14:paraId="79FD3379" w14:textId="77777777" w:rsidR="00EA3540" w:rsidRDefault="00EA3540" w:rsidP="00EA3540">
      <w:pPr>
        <w:rPr>
          <w:rFonts w:ascii="Arial" w:hAnsi="Arial" w:cs="Arial"/>
          <w:bCs/>
          <w:sz w:val="20"/>
          <w:szCs w:val="20"/>
        </w:rPr>
      </w:pPr>
    </w:p>
    <w:p w14:paraId="01ACAD5C" w14:textId="77777777" w:rsidR="00EA3540" w:rsidRDefault="00EA3540" w:rsidP="00EA3540">
      <w:pPr>
        <w:jc w:val="both"/>
        <w:rPr>
          <w:rFonts w:ascii="Arial" w:eastAsiaTheme="minorEastAsia" w:hAnsi="Arial" w:cs="Arial"/>
          <w:sz w:val="20"/>
          <w:szCs w:val="20"/>
          <w:bdr w:val="none" w:sz="0" w:space="0" w:color="auto"/>
          <w:lang w:val="en-GB"/>
        </w:rPr>
      </w:pPr>
      <w:r>
        <w:rPr>
          <w:rFonts w:ascii="Arial" w:hAnsi="Arial" w:cs="Arial"/>
          <w:bCs/>
          <w:sz w:val="20"/>
          <w:szCs w:val="20"/>
        </w:rPr>
        <w:t>T</w:t>
      </w:r>
      <w:r w:rsidRPr="007A3F3B">
        <w:rPr>
          <w:rFonts w:ascii="Arial" w:eastAsiaTheme="minorEastAsia" w:hAnsi="Arial" w:cs="Arial"/>
          <w:sz w:val="20"/>
          <w:szCs w:val="20"/>
          <w:bdr w:val="none" w:sz="0" w:space="0" w:color="auto"/>
          <w:lang w:val="en-GB"/>
        </w:rPr>
        <w:t xml:space="preserve">he Group </w:t>
      </w:r>
      <w:r>
        <w:rPr>
          <w:rFonts w:ascii="Arial" w:eastAsiaTheme="minorEastAsia" w:hAnsi="Arial" w:cs="Arial"/>
          <w:sz w:val="20"/>
          <w:szCs w:val="20"/>
          <w:bdr w:val="none" w:sz="0" w:space="0" w:color="auto"/>
          <w:lang w:val="en-GB"/>
        </w:rPr>
        <w:t>continues to monitor</w:t>
      </w:r>
      <w:r w:rsidRPr="007A3F3B">
        <w:rPr>
          <w:rFonts w:ascii="Arial" w:eastAsiaTheme="minorEastAsia" w:hAnsi="Arial" w:cs="Arial"/>
          <w:sz w:val="20"/>
          <w:szCs w:val="20"/>
          <w:bdr w:val="none" w:sz="0" w:space="0" w:color="auto"/>
          <w:lang w:val="en-GB"/>
        </w:rPr>
        <w:t xml:space="preserve"> the potential impact and risks of the UK’s exit from the European Union, including leaving the EU without a deal</w:t>
      </w:r>
      <w:r w:rsidRPr="007A3F3B">
        <w:rPr>
          <w:rFonts w:ascii="Arial" w:eastAsiaTheme="minorHAnsi" w:hAnsi="Arial" w:cs="Arial"/>
          <w:sz w:val="20"/>
          <w:szCs w:val="20"/>
          <w:bdr w:val="none" w:sz="0" w:space="0" w:color="auto"/>
          <w:lang w:val="en-GB"/>
        </w:rPr>
        <w:t xml:space="preserve">.  </w:t>
      </w:r>
      <w:r>
        <w:rPr>
          <w:rFonts w:ascii="Arial" w:eastAsiaTheme="minorHAnsi" w:hAnsi="Arial" w:cs="Arial"/>
          <w:sz w:val="20"/>
          <w:szCs w:val="20"/>
          <w:bdr w:val="none" w:sz="0" w:space="0" w:color="auto"/>
          <w:lang w:val="en-GB"/>
        </w:rPr>
        <w:t>Whilst the potential for short term disruption remains, t</w:t>
      </w:r>
      <w:r w:rsidRPr="007A3F3B">
        <w:rPr>
          <w:rFonts w:ascii="Arial" w:eastAsiaTheme="minorEastAsia" w:hAnsi="Arial" w:cs="Arial"/>
          <w:sz w:val="20"/>
          <w:szCs w:val="20"/>
          <w:bdr w:val="none" w:sz="0" w:space="0" w:color="auto"/>
          <w:lang w:val="en-GB"/>
        </w:rPr>
        <w:t xml:space="preserve">he Group’s </w:t>
      </w:r>
      <w:r>
        <w:rPr>
          <w:rFonts w:ascii="Arial" w:eastAsiaTheme="minorEastAsia" w:hAnsi="Arial" w:cs="Arial"/>
          <w:sz w:val="20"/>
          <w:szCs w:val="20"/>
          <w:bdr w:val="none" w:sz="0" w:space="0" w:color="auto"/>
          <w:lang w:val="en-GB"/>
        </w:rPr>
        <w:t>increasing</w:t>
      </w:r>
      <w:r w:rsidRPr="007A3F3B">
        <w:rPr>
          <w:rFonts w:ascii="Arial" w:eastAsiaTheme="minorEastAsia" w:hAnsi="Arial" w:cs="Arial"/>
          <w:sz w:val="20"/>
          <w:szCs w:val="20"/>
          <w:bdr w:val="none" w:sz="0" w:space="0" w:color="auto"/>
          <w:lang w:val="en-GB"/>
        </w:rPr>
        <w:t xml:space="preserve"> European bottling footprint</w:t>
      </w:r>
      <w:r>
        <w:rPr>
          <w:rFonts w:ascii="Arial" w:eastAsiaTheme="minorEastAsia" w:hAnsi="Arial" w:cs="Arial"/>
          <w:sz w:val="20"/>
          <w:szCs w:val="20"/>
          <w:bdr w:val="none" w:sz="0" w:space="0" w:color="auto"/>
          <w:lang w:val="en-GB"/>
        </w:rPr>
        <w:t xml:space="preserve">, having added a fourth production partner in the region during the first half of 2019, </w:t>
      </w:r>
      <w:r w:rsidRPr="007A3F3B">
        <w:rPr>
          <w:rFonts w:ascii="Arial" w:eastAsiaTheme="minorEastAsia" w:hAnsi="Arial" w:cs="Arial"/>
          <w:sz w:val="20"/>
          <w:szCs w:val="20"/>
          <w:bdr w:val="none" w:sz="0" w:space="0" w:color="auto"/>
          <w:lang w:val="en-GB"/>
        </w:rPr>
        <w:t>leaves the Group well placed to respond to and mitigate the potential impacts of the different scenarios under which the UK’s exit from the EU could occur</w:t>
      </w:r>
      <w:r>
        <w:rPr>
          <w:rFonts w:ascii="Arial" w:eastAsiaTheme="minorEastAsia" w:hAnsi="Arial" w:cs="Arial"/>
          <w:sz w:val="20"/>
          <w:szCs w:val="20"/>
          <w:bdr w:val="none" w:sz="0" w:space="0" w:color="auto"/>
          <w:lang w:val="en-GB"/>
        </w:rPr>
        <w:t xml:space="preserve">.  </w:t>
      </w:r>
    </w:p>
    <w:p w14:paraId="58835466" w14:textId="77777777" w:rsidR="00EA3540" w:rsidRDefault="00EA3540" w:rsidP="00EA3540">
      <w:pPr>
        <w:rPr>
          <w:rFonts w:ascii="Arial" w:hAnsi="Arial" w:cs="Arial"/>
          <w:b/>
          <w:sz w:val="20"/>
          <w:szCs w:val="20"/>
        </w:rPr>
      </w:pPr>
    </w:p>
    <w:p w14:paraId="4149ACD1" w14:textId="77777777" w:rsidR="00EA3540" w:rsidRDefault="00EA3540" w:rsidP="00EA3540">
      <w:pPr>
        <w:rPr>
          <w:rFonts w:ascii="Arial" w:hAnsi="Arial" w:cs="Arial"/>
          <w:b/>
          <w:sz w:val="20"/>
          <w:szCs w:val="20"/>
        </w:rPr>
      </w:pPr>
      <w:r w:rsidRPr="00263B08">
        <w:rPr>
          <w:rFonts w:ascii="Arial" w:hAnsi="Arial" w:cs="Arial"/>
          <w:b/>
          <w:sz w:val="20"/>
          <w:szCs w:val="20"/>
        </w:rPr>
        <w:t>Dividend</w:t>
      </w:r>
    </w:p>
    <w:p w14:paraId="42779DA6" w14:textId="77777777" w:rsidR="00EA3540" w:rsidRPr="00263B08" w:rsidRDefault="00EA3540" w:rsidP="00EA3540">
      <w:pPr>
        <w:rPr>
          <w:rFonts w:ascii="Arial" w:hAnsi="Arial" w:cs="Arial"/>
          <w:b/>
          <w:sz w:val="20"/>
          <w:szCs w:val="20"/>
        </w:rPr>
      </w:pPr>
    </w:p>
    <w:p w14:paraId="01E7CD57" w14:textId="77777777" w:rsidR="00EA3540" w:rsidRDefault="00EA3540" w:rsidP="00EA3540">
      <w:pPr>
        <w:jc w:val="both"/>
        <w:rPr>
          <w:rFonts w:ascii="Arial" w:hAnsi="Arial" w:cs="Arial"/>
          <w:sz w:val="20"/>
          <w:szCs w:val="20"/>
        </w:rPr>
      </w:pPr>
      <w:r>
        <w:rPr>
          <w:rFonts w:ascii="Arial" w:hAnsi="Arial" w:cs="Arial"/>
          <w:sz w:val="20"/>
          <w:szCs w:val="20"/>
        </w:rPr>
        <w:t>T</w:t>
      </w:r>
      <w:r w:rsidRPr="00263B08">
        <w:rPr>
          <w:rFonts w:ascii="Arial" w:hAnsi="Arial" w:cs="Arial"/>
          <w:sz w:val="20"/>
          <w:szCs w:val="20"/>
        </w:rPr>
        <w:t>he Directors are pleased to</w:t>
      </w:r>
      <w:r>
        <w:rPr>
          <w:rFonts w:ascii="Arial" w:hAnsi="Arial" w:cs="Arial"/>
          <w:sz w:val="20"/>
          <w:szCs w:val="20"/>
        </w:rPr>
        <w:t xml:space="preserve"> declare an interim dividend of 5.20</w:t>
      </w:r>
      <w:r w:rsidRPr="00263B08">
        <w:rPr>
          <w:rFonts w:ascii="Arial" w:hAnsi="Arial" w:cs="Arial"/>
          <w:sz w:val="20"/>
          <w:szCs w:val="20"/>
        </w:rPr>
        <w:t xml:space="preserve"> pence per share</w:t>
      </w:r>
      <w:r>
        <w:rPr>
          <w:rFonts w:ascii="Arial" w:hAnsi="Arial" w:cs="Arial"/>
          <w:sz w:val="20"/>
          <w:szCs w:val="20"/>
        </w:rPr>
        <w:t xml:space="preserve"> (H1 2018: 4.22</w:t>
      </w:r>
      <w:r w:rsidRPr="00263B08">
        <w:rPr>
          <w:rFonts w:ascii="Arial" w:hAnsi="Arial" w:cs="Arial"/>
          <w:sz w:val="20"/>
          <w:szCs w:val="20"/>
        </w:rPr>
        <w:t xml:space="preserve"> </w:t>
      </w:r>
      <w:r>
        <w:rPr>
          <w:rFonts w:ascii="Arial" w:hAnsi="Arial" w:cs="Arial"/>
          <w:sz w:val="20"/>
          <w:szCs w:val="20"/>
        </w:rPr>
        <w:t xml:space="preserve">pence </w:t>
      </w:r>
      <w:r w:rsidRPr="006E601A">
        <w:rPr>
          <w:rFonts w:ascii="Arial" w:hAnsi="Arial" w:cs="Arial"/>
          <w:sz w:val="20"/>
          <w:szCs w:val="20"/>
        </w:rPr>
        <w:t>per share). The dividend will be paid on 6 September 2019, to shareholders on the register on 9 August 2019.</w:t>
      </w:r>
    </w:p>
    <w:p w14:paraId="76E764A4" w14:textId="77777777" w:rsidR="00C61AEA" w:rsidRDefault="00C61AEA" w:rsidP="00EA3540">
      <w:pPr>
        <w:sectPr w:rsidR="00C61AEA" w:rsidSect="00C61AEA">
          <w:footerReference w:type="first" r:id="rId8"/>
          <w:type w:val="continuous"/>
          <w:pgSz w:w="11900" w:h="16840"/>
          <w:pgMar w:top="1440" w:right="1440" w:bottom="1440" w:left="1440" w:header="708" w:footer="708" w:gutter="0"/>
          <w:cols w:space="720"/>
          <w:titlePg/>
          <w:docGrid w:linePitch="326"/>
        </w:sectPr>
      </w:pPr>
    </w:p>
    <w:p w14:paraId="34BD2287" w14:textId="402F6FF8" w:rsidR="00EA3540" w:rsidRPr="00045AC0" w:rsidRDefault="00EA3540" w:rsidP="00EA3540">
      <w:pPr>
        <w:rPr>
          <w:rFonts w:ascii="Arial" w:hAnsi="Arial" w:cs="Arial"/>
          <w:sz w:val="20"/>
          <w:szCs w:val="20"/>
        </w:rPr>
      </w:pPr>
    </w:p>
    <w:p w14:paraId="56E2570E" w14:textId="02F690D0" w:rsidR="00EA3540" w:rsidRPr="00045AC0" w:rsidRDefault="00EA3540" w:rsidP="00EA3540">
      <w:pPr>
        <w:jc w:val="both"/>
        <w:rPr>
          <w:rFonts w:ascii="Arial" w:hAnsi="Arial" w:cs="Arial"/>
          <w:sz w:val="20"/>
          <w:szCs w:val="20"/>
        </w:rPr>
      </w:pPr>
    </w:p>
    <w:p w14:paraId="481E255F" w14:textId="77777777" w:rsidR="00152E51" w:rsidRPr="00045AC0" w:rsidRDefault="00152E51" w:rsidP="00EA3540">
      <w:pPr>
        <w:jc w:val="both"/>
        <w:rPr>
          <w:rFonts w:ascii="Arial" w:hAnsi="Arial" w:cs="Arial"/>
          <w:sz w:val="20"/>
          <w:szCs w:val="20"/>
        </w:rPr>
      </w:pPr>
    </w:p>
    <w:p w14:paraId="3564F250" w14:textId="7CB0B79B" w:rsidR="00EA3540" w:rsidRPr="00045AC0" w:rsidRDefault="00EA3540" w:rsidP="00EA3540">
      <w:pPr>
        <w:jc w:val="both"/>
        <w:rPr>
          <w:rFonts w:ascii="Arial" w:hAnsi="Arial" w:cs="Arial"/>
          <w:sz w:val="20"/>
          <w:szCs w:val="20"/>
        </w:rPr>
      </w:pPr>
    </w:p>
    <w:p w14:paraId="2280BFA1" w14:textId="77777777" w:rsidR="00EA3540" w:rsidRPr="00045AC0" w:rsidRDefault="00EA3540" w:rsidP="00EA3540">
      <w:pPr>
        <w:jc w:val="both"/>
        <w:rPr>
          <w:rFonts w:ascii="Arial" w:hAnsi="Arial" w:cs="Arial"/>
          <w:sz w:val="20"/>
          <w:szCs w:val="20"/>
        </w:rPr>
      </w:pPr>
    </w:p>
    <w:p w14:paraId="4432A5E7" w14:textId="77777777" w:rsidR="00EA3540" w:rsidRPr="00D77A4B" w:rsidRDefault="00EA3540" w:rsidP="00EA3540">
      <w:pPr>
        <w:jc w:val="both"/>
        <w:rPr>
          <w:rFonts w:ascii="Arial" w:hAnsi="Arial" w:cs="Arial"/>
          <w:b/>
          <w:sz w:val="20"/>
          <w:szCs w:val="20"/>
        </w:rPr>
      </w:pPr>
      <w:r w:rsidRPr="00D77A4B">
        <w:rPr>
          <w:rFonts w:ascii="Arial" w:hAnsi="Arial" w:cs="Arial"/>
          <w:b/>
          <w:sz w:val="20"/>
          <w:szCs w:val="20"/>
        </w:rPr>
        <w:t>Outlook</w:t>
      </w:r>
    </w:p>
    <w:p w14:paraId="66136562" w14:textId="77777777" w:rsidR="00EA3540" w:rsidRPr="00A4028A" w:rsidRDefault="00EA3540" w:rsidP="00EA3540">
      <w:pPr>
        <w:jc w:val="both"/>
        <w:rPr>
          <w:rFonts w:ascii="Arial" w:eastAsia="Times New Roman" w:hAnsi="Arial" w:cs="Arial"/>
          <w:sz w:val="20"/>
          <w:szCs w:val="20"/>
        </w:rPr>
      </w:pPr>
    </w:p>
    <w:p w14:paraId="112551F9" w14:textId="141E59CA" w:rsidR="00EA3540" w:rsidRDefault="00EA3540" w:rsidP="00EA3540">
      <w:pPr>
        <w:jc w:val="both"/>
        <w:rPr>
          <w:rFonts w:ascii="Arial" w:hAnsi="Arial" w:cs="Arial"/>
          <w:sz w:val="20"/>
          <w:szCs w:val="20"/>
        </w:rPr>
        <w:sectPr w:rsidR="00EA3540" w:rsidSect="00C61AEA">
          <w:type w:val="continuous"/>
          <w:pgSz w:w="11900" w:h="16840"/>
          <w:pgMar w:top="1440" w:right="1440" w:bottom="1440" w:left="1440" w:header="708" w:footer="708" w:gutter="0"/>
          <w:cols w:space="720"/>
          <w:titlePg/>
          <w:docGrid w:linePitch="326"/>
        </w:sectPr>
      </w:pPr>
      <w:r>
        <w:rPr>
          <w:rFonts w:ascii="Arial" w:hAnsi="Arial" w:cs="Arial"/>
          <w:sz w:val="20"/>
          <w:szCs w:val="20"/>
        </w:rPr>
        <w:t xml:space="preserve">We remain well positioned across all our key regions and </w:t>
      </w:r>
      <w:r w:rsidRPr="00B5177F">
        <w:rPr>
          <w:rFonts w:ascii="Arial" w:hAnsi="Arial" w:cs="Arial"/>
          <w:sz w:val="20"/>
          <w:szCs w:val="20"/>
        </w:rPr>
        <w:t>our broad range of high-quality mixers, global footprint</w:t>
      </w:r>
      <w:r>
        <w:rPr>
          <w:rFonts w:ascii="Arial" w:hAnsi="Arial" w:cs="Arial"/>
          <w:sz w:val="20"/>
          <w:szCs w:val="20"/>
        </w:rPr>
        <w:t>, relationships with key spirits companies</w:t>
      </w:r>
      <w:r w:rsidRPr="00B5177F">
        <w:rPr>
          <w:rFonts w:ascii="Arial" w:hAnsi="Arial" w:cs="Arial"/>
          <w:sz w:val="20"/>
          <w:szCs w:val="20"/>
        </w:rPr>
        <w:t xml:space="preserve"> and brand strength </w:t>
      </w:r>
      <w:r>
        <w:rPr>
          <w:rFonts w:ascii="Arial" w:hAnsi="Arial" w:cs="Arial"/>
          <w:sz w:val="20"/>
          <w:szCs w:val="20"/>
        </w:rPr>
        <w:t xml:space="preserve">provide us with confidence in the outlook and the significant global opportunity that lies ahead for the Group.  </w:t>
      </w:r>
      <w:r w:rsidRPr="00296352">
        <w:rPr>
          <w:rFonts w:ascii="Arial" w:hAnsi="Arial" w:cs="Arial"/>
          <w:sz w:val="20"/>
          <w:szCs w:val="20"/>
        </w:rPr>
        <w:t xml:space="preserve">Whilst we remain mindful of the tough comparators </w:t>
      </w:r>
      <w:r>
        <w:rPr>
          <w:rFonts w:ascii="Arial" w:hAnsi="Arial" w:cs="Arial"/>
          <w:sz w:val="20"/>
          <w:szCs w:val="20"/>
        </w:rPr>
        <w:t>over the remainder of the summer</w:t>
      </w:r>
      <w:r w:rsidRPr="00296352">
        <w:rPr>
          <w:rFonts w:ascii="Arial" w:hAnsi="Arial" w:cs="Arial"/>
          <w:sz w:val="20"/>
          <w:szCs w:val="20"/>
        </w:rPr>
        <w:t xml:space="preserve"> in the UK, the Board anticipates that the outcome for the full year will be in line with</w:t>
      </w:r>
      <w:r w:rsidRPr="00186EA2">
        <w:rPr>
          <w:rFonts w:ascii="Arial" w:hAnsi="Arial" w:cs="Arial"/>
          <w:sz w:val="20"/>
          <w:szCs w:val="20"/>
        </w:rPr>
        <w:t xml:space="preserve"> </w:t>
      </w:r>
      <w:r>
        <w:rPr>
          <w:rFonts w:ascii="Arial" w:hAnsi="Arial" w:cs="Arial"/>
          <w:sz w:val="20"/>
          <w:szCs w:val="20"/>
        </w:rPr>
        <w:t xml:space="preserve">its </w:t>
      </w:r>
      <w:r w:rsidRPr="00296352">
        <w:rPr>
          <w:rFonts w:ascii="Arial" w:hAnsi="Arial" w:cs="Arial"/>
          <w:sz w:val="20"/>
          <w:szCs w:val="20"/>
        </w:rPr>
        <w:t>expectations.</w:t>
      </w:r>
    </w:p>
    <w:p w14:paraId="54B188CB" w14:textId="77777777" w:rsidR="00EA3540" w:rsidRDefault="00EA3540" w:rsidP="00153A3A">
      <w:pPr>
        <w:spacing w:line="259" w:lineRule="auto"/>
        <w:rPr>
          <w:rFonts w:ascii="Arial" w:hAnsi="Arial" w:cs="Arial"/>
          <w:b/>
          <w:sz w:val="20"/>
          <w:szCs w:val="20"/>
        </w:rPr>
      </w:pPr>
    </w:p>
    <w:p w14:paraId="12313735" w14:textId="6A297D1C" w:rsidR="000F7919" w:rsidRPr="007028AC" w:rsidRDefault="000F7919" w:rsidP="00153A3A">
      <w:pPr>
        <w:spacing w:line="259" w:lineRule="auto"/>
        <w:rPr>
          <w:rFonts w:ascii="Arial" w:hAnsi="Arial" w:cs="Arial"/>
          <w:b/>
          <w:sz w:val="20"/>
          <w:szCs w:val="20"/>
        </w:rPr>
      </w:pPr>
      <w:r w:rsidRPr="007028AC">
        <w:rPr>
          <w:rFonts w:ascii="Arial" w:hAnsi="Arial" w:cs="Arial"/>
          <w:b/>
          <w:sz w:val="20"/>
          <w:szCs w:val="20"/>
        </w:rPr>
        <w:t>Consolidated statement of comprehensive income</w:t>
      </w:r>
    </w:p>
    <w:p w14:paraId="051F97F1" w14:textId="5C50F9AB" w:rsidR="000F7919" w:rsidRPr="00DD162A" w:rsidRDefault="000F7919" w:rsidP="00153A3A">
      <w:pPr>
        <w:jc w:val="both"/>
        <w:rPr>
          <w:rFonts w:ascii="Arial" w:hAnsi="Arial" w:cs="Arial"/>
          <w:b/>
          <w:sz w:val="20"/>
          <w:szCs w:val="20"/>
        </w:rPr>
      </w:pPr>
      <w:r w:rsidRPr="007028AC">
        <w:rPr>
          <w:rFonts w:ascii="Arial" w:hAnsi="Arial" w:cs="Arial"/>
          <w:b/>
          <w:sz w:val="20"/>
          <w:szCs w:val="20"/>
        </w:rPr>
        <w:t>For the six months ended 30 June 201</w:t>
      </w:r>
      <w:r w:rsidR="00491F62">
        <w:rPr>
          <w:rFonts w:ascii="Arial" w:hAnsi="Arial" w:cs="Arial"/>
          <w:b/>
          <w:sz w:val="20"/>
          <w:szCs w:val="20"/>
        </w:rPr>
        <w:t>9</w:t>
      </w:r>
      <w:r>
        <w:rPr>
          <w:rFonts w:ascii="Arial" w:hAnsi="Arial" w:cs="Arial"/>
          <w:b/>
          <w:sz w:val="20"/>
          <w:szCs w:val="20"/>
        </w:rPr>
        <w:tab/>
      </w:r>
    </w:p>
    <w:tbl>
      <w:tblPr>
        <w:tblW w:w="9072" w:type="dxa"/>
        <w:tblLook w:val="04A0" w:firstRow="1" w:lastRow="0" w:firstColumn="1" w:lastColumn="0" w:noHBand="0" w:noVBand="1"/>
      </w:tblPr>
      <w:tblGrid>
        <w:gridCol w:w="3969"/>
        <w:gridCol w:w="709"/>
        <w:gridCol w:w="1464"/>
        <w:gridCol w:w="1465"/>
        <w:gridCol w:w="1465"/>
      </w:tblGrid>
      <w:tr w:rsidR="000F7919" w:rsidRPr="00DD162A" w14:paraId="5D6A8171" w14:textId="77777777" w:rsidTr="00B82B88">
        <w:trPr>
          <w:trHeight w:val="288"/>
        </w:trPr>
        <w:tc>
          <w:tcPr>
            <w:tcW w:w="3969" w:type="dxa"/>
            <w:tcBorders>
              <w:top w:val="nil"/>
              <w:left w:val="nil"/>
              <w:bottom w:val="nil"/>
              <w:right w:val="nil"/>
            </w:tcBorders>
            <w:shd w:val="clear" w:color="auto" w:fill="auto"/>
            <w:noWrap/>
            <w:vAlign w:val="center"/>
            <w:hideMark/>
          </w:tcPr>
          <w:p w14:paraId="2814A80F" w14:textId="77777777" w:rsidR="000F7919" w:rsidRPr="00DD162A" w:rsidRDefault="000F7919" w:rsidP="000F7919">
            <w:pPr>
              <w:rPr>
                <w:rFonts w:ascii="Arial" w:eastAsia="Times New Roman" w:hAnsi="Arial" w:cs="Arial"/>
                <w:sz w:val="20"/>
                <w:szCs w:val="20"/>
                <w:lang w:eastAsia="en-GB"/>
              </w:rPr>
            </w:pPr>
          </w:p>
        </w:tc>
        <w:tc>
          <w:tcPr>
            <w:tcW w:w="709" w:type="dxa"/>
            <w:vMerge w:val="restart"/>
            <w:tcBorders>
              <w:top w:val="nil"/>
              <w:left w:val="nil"/>
              <w:bottom w:val="nil"/>
              <w:right w:val="nil"/>
            </w:tcBorders>
            <w:shd w:val="clear" w:color="auto" w:fill="auto"/>
            <w:noWrap/>
            <w:hideMark/>
          </w:tcPr>
          <w:p w14:paraId="3B800112" w14:textId="77777777" w:rsidR="000F7919" w:rsidRPr="00DD162A" w:rsidRDefault="000F7919" w:rsidP="000F7919">
            <w:pPr>
              <w:rPr>
                <w:rFonts w:ascii="Arial" w:eastAsia="Times New Roman" w:hAnsi="Arial" w:cs="Arial"/>
                <w:sz w:val="20"/>
                <w:szCs w:val="20"/>
                <w:lang w:eastAsia="en-GB"/>
              </w:rPr>
            </w:pPr>
          </w:p>
        </w:tc>
        <w:tc>
          <w:tcPr>
            <w:tcW w:w="1464" w:type="dxa"/>
            <w:tcBorders>
              <w:top w:val="nil"/>
              <w:left w:val="nil"/>
              <w:bottom w:val="nil"/>
              <w:right w:val="nil"/>
            </w:tcBorders>
            <w:shd w:val="clear" w:color="auto" w:fill="auto"/>
            <w:noWrap/>
            <w:hideMark/>
          </w:tcPr>
          <w:p w14:paraId="440AD014" w14:textId="07D770BE" w:rsidR="0015438F" w:rsidRDefault="0015438F">
            <w:pPr>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Unaudited</w:t>
            </w:r>
          </w:p>
          <w:p w14:paraId="38B5DD2A" w14:textId="1A0EC791" w:rsidR="000F7919" w:rsidRPr="00DD162A" w:rsidRDefault="000F7919">
            <w:pPr>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Six months ended</w:t>
            </w:r>
          </w:p>
        </w:tc>
        <w:tc>
          <w:tcPr>
            <w:tcW w:w="1465" w:type="dxa"/>
            <w:tcBorders>
              <w:top w:val="nil"/>
              <w:left w:val="nil"/>
              <w:bottom w:val="nil"/>
              <w:right w:val="nil"/>
            </w:tcBorders>
          </w:tcPr>
          <w:p w14:paraId="5C3D231E" w14:textId="74293E51" w:rsidR="0015438F" w:rsidRDefault="0015438F">
            <w:pPr>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Unaudited</w:t>
            </w:r>
          </w:p>
          <w:p w14:paraId="33F274FE" w14:textId="6F0CE1BE" w:rsidR="000F7919" w:rsidRPr="00DD162A" w:rsidRDefault="000F7919">
            <w:pPr>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xml:space="preserve">Six months </w:t>
            </w:r>
            <w:r w:rsidRPr="00DD162A">
              <w:rPr>
                <w:rFonts w:ascii="Arial" w:eastAsia="Times New Roman" w:hAnsi="Arial" w:cs="Arial"/>
                <w:b/>
                <w:bCs/>
                <w:color w:val="000000"/>
                <w:sz w:val="20"/>
                <w:szCs w:val="20"/>
                <w:lang w:eastAsia="en-GB"/>
              </w:rPr>
              <w:t>ended</w:t>
            </w:r>
          </w:p>
        </w:tc>
        <w:tc>
          <w:tcPr>
            <w:tcW w:w="1465" w:type="dxa"/>
            <w:tcBorders>
              <w:top w:val="nil"/>
              <w:left w:val="nil"/>
              <w:bottom w:val="nil"/>
              <w:right w:val="nil"/>
            </w:tcBorders>
            <w:vAlign w:val="center"/>
          </w:tcPr>
          <w:p w14:paraId="135EE82D" w14:textId="5962D574" w:rsidR="0015438F" w:rsidRDefault="0015438F">
            <w:pPr>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Audited</w:t>
            </w:r>
          </w:p>
          <w:p w14:paraId="777EFADA" w14:textId="6D488D3A" w:rsidR="000F7919" w:rsidRPr="00DD162A" w:rsidRDefault="000F7919">
            <w:pPr>
              <w:jc w:val="right"/>
              <w:rPr>
                <w:rFonts w:ascii="Arial" w:eastAsia="Times New Roman" w:hAnsi="Arial" w:cs="Arial"/>
                <w:b/>
                <w:bCs/>
                <w:color w:val="000000"/>
                <w:sz w:val="20"/>
                <w:szCs w:val="20"/>
                <w:lang w:eastAsia="en-GB"/>
              </w:rPr>
            </w:pPr>
            <w:r w:rsidRPr="00DD162A">
              <w:rPr>
                <w:rFonts w:ascii="Arial" w:eastAsia="Times New Roman" w:hAnsi="Arial" w:cs="Arial"/>
                <w:b/>
                <w:bCs/>
                <w:color w:val="000000"/>
                <w:sz w:val="20"/>
                <w:szCs w:val="20"/>
                <w:lang w:eastAsia="en-GB"/>
              </w:rPr>
              <w:t>Year ended</w:t>
            </w:r>
          </w:p>
        </w:tc>
      </w:tr>
      <w:tr w:rsidR="000F7919" w:rsidRPr="00DD162A" w14:paraId="7DE0F273" w14:textId="77777777" w:rsidTr="00B82B88">
        <w:trPr>
          <w:trHeight w:val="288"/>
        </w:trPr>
        <w:tc>
          <w:tcPr>
            <w:tcW w:w="3969" w:type="dxa"/>
            <w:tcBorders>
              <w:top w:val="nil"/>
              <w:left w:val="nil"/>
              <w:bottom w:val="nil"/>
              <w:right w:val="nil"/>
            </w:tcBorders>
            <w:shd w:val="clear" w:color="auto" w:fill="auto"/>
            <w:noWrap/>
            <w:vAlign w:val="center"/>
            <w:hideMark/>
          </w:tcPr>
          <w:p w14:paraId="59F4BCD1" w14:textId="77777777" w:rsidR="000F7919" w:rsidRPr="00DD162A" w:rsidRDefault="000F7919" w:rsidP="000F7919">
            <w:pPr>
              <w:jc w:val="right"/>
              <w:rPr>
                <w:rFonts w:ascii="Arial" w:eastAsia="Times New Roman" w:hAnsi="Arial" w:cs="Arial"/>
                <w:b/>
                <w:bCs/>
                <w:color w:val="000000"/>
                <w:sz w:val="20"/>
                <w:szCs w:val="20"/>
                <w:lang w:eastAsia="en-GB"/>
              </w:rPr>
            </w:pPr>
          </w:p>
        </w:tc>
        <w:tc>
          <w:tcPr>
            <w:tcW w:w="709" w:type="dxa"/>
            <w:vMerge/>
            <w:tcBorders>
              <w:top w:val="nil"/>
              <w:left w:val="nil"/>
              <w:bottom w:val="nil"/>
              <w:right w:val="nil"/>
            </w:tcBorders>
            <w:vAlign w:val="center"/>
            <w:hideMark/>
          </w:tcPr>
          <w:p w14:paraId="1CFC85EE" w14:textId="77777777" w:rsidR="000F7919" w:rsidRPr="00DD162A" w:rsidRDefault="000F7919" w:rsidP="000F7919">
            <w:pPr>
              <w:rPr>
                <w:rFonts w:ascii="Arial" w:eastAsia="Times New Roman" w:hAnsi="Arial" w:cs="Arial"/>
                <w:sz w:val="20"/>
                <w:szCs w:val="20"/>
                <w:lang w:eastAsia="en-GB"/>
              </w:rPr>
            </w:pPr>
          </w:p>
        </w:tc>
        <w:tc>
          <w:tcPr>
            <w:tcW w:w="1464" w:type="dxa"/>
            <w:tcBorders>
              <w:top w:val="nil"/>
              <w:left w:val="nil"/>
              <w:bottom w:val="nil"/>
              <w:right w:val="nil"/>
            </w:tcBorders>
            <w:shd w:val="clear" w:color="auto" w:fill="auto"/>
            <w:vAlign w:val="center"/>
            <w:hideMark/>
          </w:tcPr>
          <w:p w14:paraId="1EAAB36F" w14:textId="77777777" w:rsidR="000F7919" w:rsidRPr="00DD162A" w:rsidRDefault="000F7919" w:rsidP="000F7919">
            <w:pPr>
              <w:jc w:val="right"/>
              <w:rPr>
                <w:rFonts w:ascii="Arial" w:eastAsia="Times New Roman" w:hAnsi="Arial" w:cs="Arial"/>
                <w:b/>
                <w:bCs/>
                <w:color w:val="000000"/>
                <w:sz w:val="20"/>
                <w:szCs w:val="20"/>
                <w:lang w:eastAsia="en-GB"/>
              </w:rPr>
            </w:pPr>
            <w:r w:rsidRPr="00DD162A">
              <w:rPr>
                <w:rFonts w:ascii="Arial" w:eastAsia="Times New Roman" w:hAnsi="Arial" w:cs="Arial"/>
                <w:b/>
                <w:bCs/>
                <w:color w:val="000000"/>
                <w:sz w:val="20"/>
                <w:szCs w:val="20"/>
                <w:lang w:eastAsia="en-GB"/>
              </w:rPr>
              <w:t>30 June</w:t>
            </w:r>
          </w:p>
        </w:tc>
        <w:tc>
          <w:tcPr>
            <w:tcW w:w="1465" w:type="dxa"/>
            <w:tcBorders>
              <w:top w:val="nil"/>
              <w:left w:val="nil"/>
              <w:bottom w:val="nil"/>
              <w:right w:val="nil"/>
            </w:tcBorders>
            <w:vAlign w:val="center"/>
          </w:tcPr>
          <w:p w14:paraId="15B2771A" w14:textId="77777777" w:rsidR="000F7919" w:rsidRPr="00DD162A" w:rsidRDefault="000F7919" w:rsidP="000F7919">
            <w:pPr>
              <w:jc w:val="right"/>
              <w:rPr>
                <w:rFonts w:ascii="Arial" w:eastAsia="Times New Roman" w:hAnsi="Arial" w:cs="Arial"/>
                <w:b/>
                <w:bCs/>
                <w:color w:val="000000"/>
                <w:sz w:val="20"/>
                <w:szCs w:val="20"/>
                <w:lang w:eastAsia="en-GB"/>
              </w:rPr>
            </w:pPr>
            <w:r w:rsidRPr="00DD162A">
              <w:rPr>
                <w:rFonts w:ascii="Arial" w:eastAsia="Times New Roman" w:hAnsi="Arial" w:cs="Arial"/>
                <w:b/>
                <w:bCs/>
                <w:color w:val="000000"/>
                <w:sz w:val="20"/>
                <w:szCs w:val="20"/>
                <w:lang w:eastAsia="en-GB"/>
              </w:rPr>
              <w:t>30 June</w:t>
            </w:r>
          </w:p>
        </w:tc>
        <w:tc>
          <w:tcPr>
            <w:tcW w:w="1465" w:type="dxa"/>
            <w:tcBorders>
              <w:top w:val="nil"/>
              <w:left w:val="nil"/>
              <w:bottom w:val="nil"/>
              <w:right w:val="nil"/>
            </w:tcBorders>
            <w:vAlign w:val="center"/>
          </w:tcPr>
          <w:p w14:paraId="7A8FE8BF" w14:textId="77777777" w:rsidR="000F7919" w:rsidRPr="00DD162A" w:rsidRDefault="000F7919" w:rsidP="000F7919">
            <w:pPr>
              <w:jc w:val="right"/>
              <w:rPr>
                <w:rFonts w:ascii="Arial" w:eastAsia="Times New Roman" w:hAnsi="Arial" w:cs="Arial"/>
                <w:b/>
                <w:bCs/>
                <w:color w:val="000000"/>
                <w:sz w:val="20"/>
                <w:szCs w:val="20"/>
                <w:lang w:eastAsia="en-GB"/>
              </w:rPr>
            </w:pPr>
            <w:r w:rsidRPr="00DD162A">
              <w:rPr>
                <w:rFonts w:ascii="Arial" w:eastAsia="Times New Roman" w:hAnsi="Arial" w:cs="Arial"/>
                <w:b/>
                <w:bCs/>
                <w:color w:val="000000"/>
                <w:sz w:val="20"/>
                <w:szCs w:val="20"/>
                <w:lang w:eastAsia="en-GB"/>
              </w:rPr>
              <w:t>31 December</w:t>
            </w:r>
          </w:p>
        </w:tc>
      </w:tr>
      <w:tr w:rsidR="000F7919" w:rsidRPr="00DD162A" w14:paraId="15C903C3" w14:textId="77777777" w:rsidTr="00B82B88">
        <w:trPr>
          <w:trHeight w:val="288"/>
        </w:trPr>
        <w:tc>
          <w:tcPr>
            <w:tcW w:w="3969" w:type="dxa"/>
            <w:tcBorders>
              <w:top w:val="nil"/>
              <w:left w:val="nil"/>
              <w:bottom w:val="nil"/>
              <w:right w:val="nil"/>
            </w:tcBorders>
            <w:shd w:val="clear" w:color="auto" w:fill="auto"/>
            <w:noWrap/>
            <w:hideMark/>
          </w:tcPr>
          <w:p w14:paraId="39C22AC7" w14:textId="77777777" w:rsidR="000F7919" w:rsidRPr="00DD162A" w:rsidRDefault="000F7919" w:rsidP="000F7919">
            <w:pPr>
              <w:jc w:val="right"/>
              <w:rPr>
                <w:rFonts w:ascii="Arial" w:eastAsia="Times New Roman" w:hAnsi="Arial" w:cs="Arial"/>
                <w:b/>
                <w:bCs/>
                <w:color w:val="000000"/>
                <w:sz w:val="20"/>
                <w:szCs w:val="20"/>
                <w:lang w:eastAsia="en-GB"/>
              </w:rPr>
            </w:pPr>
          </w:p>
        </w:tc>
        <w:tc>
          <w:tcPr>
            <w:tcW w:w="709" w:type="dxa"/>
            <w:tcBorders>
              <w:top w:val="nil"/>
              <w:left w:val="nil"/>
              <w:bottom w:val="nil"/>
              <w:right w:val="nil"/>
            </w:tcBorders>
            <w:shd w:val="clear" w:color="auto" w:fill="auto"/>
            <w:noWrap/>
            <w:hideMark/>
          </w:tcPr>
          <w:p w14:paraId="68EFD7A7" w14:textId="77777777" w:rsidR="000F7919" w:rsidRPr="00DD162A" w:rsidRDefault="000F7919" w:rsidP="000F7919">
            <w:pPr>
              <w:rPr>
                <w:rFonts w:ascii="Arial" w:eastAsia="Times New Roman" w:hAnsi="Arial" w:cs="Arial"/>
                <w:sz w:val="20"/>
                <w:szCs w:val="20"/>
                <w:lang w:eastAsia="en-GB"/>
              </w:rPr>
            </w:pPr>
          </w:p>
        </w:tc>
        <w:tc>
          <w:tcPr>
            <w:tcW w:w="1464" w:type="dxa"/>
            <w:tcBorders>
              <w:top w:val="nil"/>
              <w:left w:val="nil"/>
              <w:bottom w:val="nil"/>
              <w:right w:val="nil"/>
            </w:tcBorders>
            <w:shd w:val="clear" w:color="auto" w:fill="auto"/>
            <w:noWrap/>
            <w:vAlign w:val="center"/>
            <w:hideMark/>
          </w:tcPr>
          <w:p w14:paraId="543106D2" w14:textId="2317D803" w:rsidR="000F7919" w:rsidRPr="00DD162A" w:rsidRDefault="000F7919" w:rsidP="000F7919">
            <w:pPr>
              <w:jc w:val="right"/>
              <w:rPr>
                <w:rFonts w:ascii="Arial" w:eastAsia="Times New Roman" w:hAnsi="Arial" w:cs="Arial"/>
                <w:b/>
                <w:bCs/>
                <w:color w:val="000000"/>
                <w:sz w:val="20"/>
                <w:szCs w:val="20"/>
                <w:lang w:eastAsia="en-GB"/>
              </w:rPr>
            </w:pPr>
            <w:r w:rsidRPr="00DD162A">
              <w:rPr>
                <w:rFonts w:ascii="Arial" w:eastAsia="Times New Roman" w:hAnsi="Arial" w:cs="Arial"/>
                <w:b/>
                <w:bCs/>
                <w:color w:val="000000"/>
                <w:sz w:val="20"/>
                <w:szCs w:val="20"/>
                <w:lang w:eastAsia="en-GB"/>
              </w:rPr>
              <w:t>201</w:t>
            </w:r>
            <w:r w:rsidR="00491F62">
              <w:rPr>
                <w:rFonts w:ascii="Arial" w:eastAsia="Times New Roman" w:hAnsi="Arial" w:cs="Arial"/>
                <w:b/>
                <w:bCs/>
                <w:color w:val="000000"/>
                <w:sz w:val="20"/>
                <w:szCs w:val="20"/>
                <w:lang w:eastAsia="en-GB"/>
              </w:rPr>
              <w:t>9</w:t>
            </w:r>
          </w:p>
        </w:tc>
        <w:tc>
          <w:tcPr>
            <w:tcW w:w="1465" w:type="dxa"/>
            <w:tcBorders>
              <w:top w:val="nil"/>
              <w:left w:val="nil"/>
              <w:bottom w:val="nil"/>
              <w:right w:val="nil"/>
            </w:tcBorders>
            <w:vAlign w:val="center"/>
          </w:tcPr>
          <w:p w14:paraId="77DF885E" w14:textId="37BE0E39" w:rsidR="000F7919" w:rsidRPr="00DD162A" w:rsidRDefault="000F7919" w:rsidP="000F7919">
            <w:pPr>
              <w:jc w:val="right"/>
              <w:rPr>
                <w:rFonts w:ascii="Arial" w:eastAsia="Times New Roman" w:hAnsi="Arial" w:cs="Arial"/>
                <w:b/>
                <w:bCs/>
                <w:color w:val="000000"/>
                <w:sz w:val="20"/>
                <w:szCs w:val="20"/>
                <w:lang w:eastAsia="en-GB"/>
              </w:rPr>
            </w:pPr>
            <w:r w:rsidRPr="00DD162A">
              <w:rPr>
                <w:rFonts w:ascii="Arial" w:eastAsia="Times New Roman" w:hAnsi="Arial" w:cs="Arial"/>
                <w:b/>
                <w:bCs/>
                <w:color w:val="000000"/>
                <w:sz w:val="20"/>
                <w:szCs w:val="20"/>
                <w:lang w:eastAsia="en-GB"/>
              </w:rPr>
              <w:t>201</w:t>
            </w:r>
            <w:r w:rsidR="00491F62">
              <w:rPr>
                <w:rFonts w:ascii="Arial" w:eastAsia="Times New Roman" w:hAnsi="Arial" w:cs="Arial"/>
                <w:b/>
                <w:bCs/>
                <w:color w:val="000000"/>
                <w:sz w:val="20"/>
                <w:szCs w:val="20"/>
                <w:lang w:eastAsia="en-GB"/>
              </w:rPr>
              <w:t>8</w:t>
            </w:r>
          </w:p>
        </w:tc>
        <w:tc>
          <w:tcPr>
            <w:tcW w:w="1465" w:type="dxa"/>
            <w:tcBorders>
              <w:top w:val="nil"/>
              <w:left w:val="nil"/>
              <w:bottom w:val="nil"/>
              <w:right w:val="nil"/>
            </w:tcBorders>
            <w:vAlign w:val="center"/>
          </w:tcPr>
          <w:p w14:paraId="557F756F" w14:textId="339B4864" w:rsidR="000F7919" w:rsidRPr="00DD162A" w:rsidRDefault="000F7919" w:rsidP="000F7919">
            <w:pPr>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201</w:t>
            </w:r>
            <w:r w:rsidR="00491F62">
              <w:rPr>
                <w:rFonts w:ascii="Arial" w:eastAsia="Times New Roman" w:hAnsi="Arial" w:cs="Arial"/>
                <w:b/>
                <w:bCs/>
                <w:color w:val="000000"/>
                <w:sz w:val="20"/>
                <w:szCs w:val="20"/>
                <w:lang w:eastAsia="en-GB"/>
              </w:rPr>
              <w:t>8</w:t>
            </w:r>
          </w:p>
        </w:tc>
      </w:tr>
      <w:tr w:rsidR="000F7919" w:rsidRPr="00DD162A" w14:paraId="6819EEF0" w14:textId="77777777" w:rsidTr="00B82B88">
        <w:trPr>
          <w:trHeight w:val="288"/>
        </w:trPr>
        <w:tc>
          <w:tcPr>
            <w:tcW w:w="3969" w:type="dxa"/>
            <w:tcBorders>
              <w:top w:val="nil"/>
              <w:left w:val="nil"/>
              <w:bottom w:val="nil"/>
              <w:right w:val="nil"/>
            </w:tcBorders>
            <w:shd w:val="clear" w:color="auto" w:fill="auto"/>
            <w:noWrap/>
            <w:hideMark/>
          </w:tcPr>
          <w:p w14:paraId="5BA1FA8C" w14:textId="77777777" w:rsidR="000F7919" w:rsidRPr="00DD162A" w:rsidRDefault="000F7919" w:rsidP="000F7919">
            <w:pPr>
              <w:jc w:val="right"/>
              <w:rPr>
                <w:rFonts w:ascii="Arial" w:eastAsia="Times New Roman" w:hAnsi="Arial" w:cs="Arial"/>
                <w:b/>
                <w:bCs/>
                <w:color w:val="000000"/>
                <w:sz w:val="20"/>
                <w:szCs w:val="20"/>
                <w:lang w:eastAsia="en-GB"/>
              </w:rPr>
            </w:pPr>
          </w:p>
        </w:tc>
        <w:tc>
          <w:tcPr>
            <w:tcW w:w="709" w:type="dxa"/>
            <w:tcBorders>
              <w:top w:val="nil"/>
              <w:left w:val="nil"/>
              <w:bottom w:val="nil"/>
              <w:right w:val="nil"/>
            </w:tcBorders>
            <w:shd w:val="clear" w:color="auto" w:fill="auto"/>
            <w:noWrap/>
            <w:vAlign w:val="center"/>
            <w:hideMark/>
          </w:tcPr>
          <w:p w14:paraId="7015BB3A" w14:textId="77777777" w:rsidR="000F7919" w:rsidRPr="00DD162A" w:rsidRDefault="000F7919" w:rsidP="000F7919">
            <w:pPr>
              <w:rPr>
                <w:rFonts w:ascii="Arial" w:eastAsia="Times New Roman" w:hAnsi="Arial" w:cs="Arial"/>
                <w:color w:val="000000"/>
                <w:sz w:val="20"/>
                <w:szCs w:val="20"/>
                <w:lang w:eastAsia="en-GB"/>
              </w:rPr>
            </w:pPr>
            <w:r w:rsidRPr="00DD162A">
              <w:rPr>
                <w:rFonts w:ascii="Arial" w:eastAsia="Times New Roman" w:hAnsi="Arial" w:cs="Arial"/>
                <w:color w:val="000000"/>
                <w:sz w:val="20"/>
                <w:szCs w:val="20"/>
                <w:lang w:eastAsia="en-GB"/>
              </w:rPr>
              <w:t>Note</w:t>
            </w:r>
          </w:p>
        </w:tc>
        <w:tc>
          <w:tcPr>
            <w:tcW w:w="1464" w:type="dxa"/>
            <w:tcBorders>
              <w:top w:val="nil"/>
              <w:left w:val="nil"/>
              <w:bottom w:val="nil"/>
              <w:right w:val="nil"/>
            </w:tcBorders>
            <w:shd w:val="clear" w:color="auto" w:fill="auto"/>
            <w:noWrap/>
            <w:vAlign w:val="center"/>
            <w:hideMark/>
          </w:tcPr>
          <w:p w14:paraId="0CBC8F44" w14:textId="77777777" w:rsidR="000F7919" w:rsidRPr="00DD162A" w:rsidRDefault="000F7919" w:rsidP="000F7919">
            <w:pPr>
              <w:jc w:val="right"/>
              <w:rPr>
                <w:rFonts w:ascii="Arial" w:eastAsia="Times New Roman" w:hAnsi="Arial" w:cs="Arial"/>
                <w:color w:val="000000"/>
                <w:sz w:val="20"/>
                <w:szCs w:val="20"/>
                <w:lang w:eastAsia="en-GB"/>
              </w:rPr>
            </w:pPr>
            <w:r w:rsidRPr="00DD162A">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’000</w:t>
            </w:r>
          </w:p>
        </w:tc>
        <w:tc>
          <w:tcPr>
            <w:tcW w:w="1465" w:type="dxa"/>
            <w:tcBorders>
              <w:top w:val="nil"/>
              <w:left w:val="nil"/>
              <w:bottom w:val="nil"/>
              <w:right w:val="nil"/>
            </w:tcBorders>
            <w:vAlign w:val="center"/>
          </w:tcPr>
          <w:p w14:paraId="38D0EC76" w14:textId="77777777" w:rsidR="000F7919" w:rsidRPr="00DD162A" w:rsidRDefault="000F7919" w:rsidP="000F7919">
            <w:pPr>
              <w:jc w:val="right"/>
              <w:rPr>
                <w:rFonts w:ascii="Arial" w:eastAsia="Times New Roman" w:hAnsi="Arial" w:cs="Arial"/>
                <w:color w:val="000000"/>
                <w:sz w:val="20"/>
                <w:szCs w:val="20"/>
                <w:lang w:eastAsia="en-GB"/>
              </w:rPr>
            </w:pPr>
            <w:r w:rsidRPr="00DD162A">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’000</w:t>
            </w:r>
          </w:p>
        </w:tc>
        <w:tc>
          <w:tcPr>
            <w:tcW w:w="1465" w:type="dxa"/>
            <w:tcBorders>
              <w:top w:val="nil"/>
              <w:left w:val="nil"/>
              <w:bottom w:val="nil"/>
              <w:right w:val="nil"/>
            </w:tcBorders>
            <w:vAlign w:val="center"/>
          </w:tcPr>
          <w:p w14:paraId="420C2CA8" w14:textId="77777777" w:rsidR="000F7919" w:rsidRPr="00DD162A" w:rsidRDefault="000F7919" w:rsidP="000F7919">
            <w:pPr>
              <w:jc w:val="right"/>
              <w:rPr>
                <w:rFonts w:ascii="Arial" w:eastAsia="Times New Roman" w:hAnsi="Arial" w:cs="Arial"/>
                <w:color w:val="000000"/>
                <w:sz w:val="20"/>
                <w:szCs w:val="20"/>
                <w:lang w:eastAsia="en-GB"/>
              </w:rPr>
            </w:pPr>
            <w:r w:rsidRPr="00DD162A">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’000</w:t>
            </w:r>
          </w:p>
        </w:tc>
      </w:tr>
      <w:tr w:rsidR="000F7919" w:rsidRPr="00DD162A" w14:paraId="46FDD6F0" w14:textId="77777777" w:rsidTr="00B82B88">
        <w:trPr>
          <w:trHeight w:val="288"/>
        </w:trPr>
        <w:tc>
          <w:tcPr>
            <w:tcW w:w="3969" w:type="dxa"/>
            <w:tcBorders>
              <w:top w:val="nil"/>
              <w:left w:val="nil"/>
              <w:bottom w:val="nil"/>
              <w:right w:val="nil"/>
            </w:tcBorders>
            <w:shd w:val="clear" w:color="auto" w:fill="auto"/>
            <w:noWrap/>
          </w:tcPr>
          <w:p w14:paraId="45F05916" w14:textId="77777777" w:rsidR="000F7919" w:rsidRPr="00DD162A" w:rsidRDefault="000F7919" w:rsidP="000F7919">
            <w:pPr>
              <w:jc w:val="right"/>
              <w:rPr>
                <w:rFonts w:ascii="Arial" w:eastAsia="Times New Roman" w:hAnsi="Arial" w:cs="Arial"/>
                <w:b/>
                <w:bCs/>
                <w:color w:val="000000"/>
                <w:sz w:val="20"/>
                <w:szCs w:val="20"/>
                <w:lang w:eastAsia="en-GB"/>
              </w:rPr>
            </w:pPr>
          </w:p>
        </w:tc>
        <w:tc>
          <w:tcPr>
            <w:tcW w:w="709" w:type="dxa"/>
            <w:tcBorders>
              <w:top w:val="nil"/>
              <w:left w:val="nil"/>
              <w:bottom w:val="nil"/>
              <w:right w:val="nil"/>
            </w:tcBorders>
            <w:shd w:val="clear" w:color="auto" w:fill="auto"/>
            <w:noWrap/>
            <w:vAlign w:val="center"/>
          </w:tcPr>
          <w:p w14:paraId="30966A0C" w14:textId="77777777" w:rsidR="000F7919" w:rsidRPr="00DD162A" w:rsidRDefault="000F7919" w:rsidP="000F7919">
            <w:pPr>
              <w:rPr>
                <w:rFonts w:ascii="Arial" w:eastAsia="Times New Roman" w:hAnsi="Arial" w:cs="Arial"/>
                <w:color w:val="000000"/>
                <w:sz w:val="20"/>
                <w:szCs w:val="20"/>
                <w:lang w:eastAsia="en-GB"/>
              </w:rPr>
            </w:pPr>
          </w:p>
        </w:tc>
        <w:tc>
          <w:tcPr>
            <w:tcW w:w="1464" w:type="dxa"/>
            <w:tcBorders>
              <w:top w:val="nil"/>
              <w:left w:val="nil"/>
              <w:bottom w:val="nil"/>
              <w:right w:val="nil"/>
            </w:tcBorders>
            <w:shd w:val="clear" w:color="auto" w:fill="auto"/>
            <w:noWrap/>
            <w:vAlign w:val="center"/>
          </w:tcPr>
          <w:p w14:paraId="156F2C06" w14:textId="77777777" w:rsidR="000F7919" w:rsidRPr="00DD162A" w:rsidRDefault="000F7919" w:rsidP="000F7919">
            <w:pPr>
              <w:jc w:val="right"/>
              <w:rPr>
                <w:rFonts w:ascii="Arial" w:eastAsia="Times New Roman" w:hAnsi="Arial" w:cs="Arial"/>
                <w:color w:val="000000"/>
                <w:sz w:val="20"/>
                <w:szCs w:val="20"/>
                <w:lang w:eastAsia="en-GB"/>
              </w:rPr>
            </w:pPr>
          </w:p>
        </w:tc>
        <w:tc>
          <w:tcPr>
            <w:tcW w:w="1465" w:type="dxa"/>
            <w:tcBorders>
              <w:top w:val="nil"/>
              <w:left w:val="nil"/>
              <w:bottom w:val="nil"/>
              <w:right w:val="nil"/>
            </w:tcBorders>
            <w:vAlign w:val="center"/>
          </w:tcPr>
          <w:p w14:paraId="64F8979A" w14:textId="77777777" w:rsidR="000F7919" w:rsidRPr="00DD162A" w:rsidRDefault="000F7919" w:rsidP="000F7919">
            <w:pPr>
              <w:jc w:val="right"/>
              <w:rPr>
                <w:rFonts w:ascii="Arial" w:eastAsia="Times New Roman" w:hAnsi="Arial" w:cs="Arial"/>
                <w:color w:val="000000"/>
                <w:sz w:val="20"/>
                <w:szCs w:val="20"/>
                <w:lang w:eastAsia="en-GB"/>
              </w:rPr>
            </w:pPr>
          </w:p>
        </w:tc>
        <w:tc>
          <w:tcPr>
            <w:tcW w:w="1465" w:type="dxa"/>
            <w:tcBorders>
              <w:top w:val="nil"/>
              <w:left w:val="nil"/>
              <w:bottom w:val="nil"/>
              <w:right w:val="nil"/>
            </w:tcBorders>
            <w:vAlign w:val="center"/>
          </w:tcPr>
          <w:p w14:paraId="2FDCDC58" w14:textId="77777777" w:rsidR="000F7919" w:rsidRPr="00DD162A" w:rsidRDefault="000F7919" w:rsidP="000F7919">
            <w:pPr>
              <w:jc w:val="right"/>
              <w:rPr>
                <w:rFonts w:ascii="Arial" w:eastAsia="Times New Roman" w:hAnsi="Arial" w:cs="Arial"/>
                <w:color w:val="000000"/>
                <w:sz w:val="20"/>
                <w:szCs w:val="20"/>
                <w:lang w:eastAsia="en-GB"/>
              </w:rPr>
            </w:pPr>
          </w:p>
        </w:tc>
      </w:tr>
      <w:tr w:rsidR="00AB15E6" w:rsidRPr="00DD162A" w14:paraId="057DF9D4" w14:textId="77777777" w:rsidTr="00B82B88">
        <w:trPr>
          <w:trHeight w:val="288"/>
        </w:trPr>
        <w:tc>
          <w:tcPr>
            <w:tcW w:w="3969" w:type="dxa"/>
            <w:tcBorders>
              <w:top w:val="nil"/>
              <w:left w:val="nil"/>
              <w:bottom w:val="nil"/>
              <w:right w:val="nil"/>
            </w:tcBorders>
            <w:shd w:val="clear" w:color="auto" w:fill="auto"/>
            <w:noWrap/>
            <w:vAlign w:val="center"/>
            <w:hideMark/>
          </w:tcPr>
          <w:p w14:paraId="132B8D28" w14:textId="77777777" w:rsidR="00AB15E6" w:rsidRPr="00DD162A" w:rsidRDefault="00AB15E6" w:rsidP="00AB15E6">
            <w:pPr>
              <w:rPr>
                <w:rFonts w:ascii="Arial" w:eastAsia="Times New Roman" w:hAnsi="Arial" w:cs="Arial"/>
                <w:b/>
                <w:bCs/>
                <w:color w:val="000000"/>
                <w:sz w:val="20"/>
                <w:szCs w:val="20"/>
                <w:lang w:eastAsia="en-GB"/>
              </w:rPr>
            </w:pPr>
            <w:r w:rsidRPr="00DD162A">
              <w:rPr>
                <w:rFonts w:ascii="Arial" w:eastAsia="Times New Roman" w:hAnsi="Arial" w:cs="Arial"/>
                <w:b/>
                <w:bCs/>
                <w:color w:val="000000"/>
                <w:sz w:val="20"/>
                <w:szCs w:val="20"/>
                <w:lang w:eastAsia="en-GB"/>
              </w:rPr>
              <w:t>Revenue</w:t>
            </w:r>
          </w:p>
        </w:tc>
        <w:tc>
          <w:tcPr>
            <w:tcW w:w="709" w:type="dxa"/>
            <w:tcBorders>
              <w:top w:val="nil"/>
              <w:left w:val="nil"/>
              <w:bottom w:val="nil"/>
              <w:right w:val="nil"/>
            </w:tcBorders>
            <w:shd w:val="clear" w:color="auto" w:fill="auto"/>
            <w:noWrap/>
            <w:vAlign w:val="center"/>
            <w:hideMark/>
          </w:tcPr>
          <w:p w14:paraId="08D2F474" w14:textId="77777777" w:rsidR="00AB15E6" w:rsidRPr="00DD162A" w:rsidRDefault="00AB15E6" w:rsidP="00AB15E6">
            <w:pPr>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w:t>
            </w:r>
          </w:p>
        </w:tc>
        <w:tc>
          <w:tcPr>
            <w:tcW w:w="1464" w:type="dxa"/>
            <w:tcBorders>
              <w:top w:val="nil"/>
              <w:left w:val="nil"/>
              <w:bottom w:val="nil"/>
              <w:right w:val="nil"/>
            </w:tcBorders>
            <w:shd w:val="clear" w:color="auto" w:fill="auto"/>
            <w:noWrap/>
            <w:vAlign w:val="center"/>
          </w:tcPr>
          <w:p w14:paraId="1FF8AD1B" w14:textId="499664FA" w:rsidR="00AB15E6" w:rsidRPr="00DD162A" w:rsidRDefault="009A3BF3" w:rsidP="00AB15E6">
            <w:pPr>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117,312.1</w:t>
            </w:r>
          </w:p>
        </w:tc>
        <w:tc>
          <w:tcPr>
            <w:tcW w:w="1465" w:type="dxa"/>
            <w:tcBorders>
              <w:top w:val="nil"/>
              <w:left w:val="nil"/>
              <w:bottom w:val="nil"/>
              <w:right w:val="nil"/>
            </w:tcBorders>
            <w:vAlign w:val="center"/>
          </w:tcPr>
          <w:p w14:paraId="2215A9AB" w14:textId="70F9CB31" w:rsidR="00AB15E6" w:rsidRPr="00DD162A" w:rsidRDefault="00AB15E6" w:rsidP="00AB15E6">
            <w:pPr>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104,213.1</w:t>
            </w:r>
          </w:p>
        </w:tc>
        <w:tc>
          <w:tcPr>
            <w:tcW w:w="1465" w:type="dxa"/>
            <w:tcBorders>
              <w:top w:val="nil"/>
              <w:left w:val="nil"/>
              <w:bottom w:val="nil"/>
              <w:right w:val="nil"/>
            </w:tcBorders>
            <w:vAlign w:val="center"/>
          </w:tcPr>
          <w:p w14:paraId="341ADC30" w14:textId="1AA643AC" w:rsidR="00AB15E6" w:rsidRPr="0031229D" w:rsidRDefault="00AB15E6" w:rsidP="00AB15E6">
            <w:pPr>
              <w:jc w:val="right"/>
              <w:rPr>
                <w:rFonts w:ascii="Arial" w:eastAsia="Times New Roman" w:hAnsi="Arial" w:cs="Arial"/>
                <w:color w:val="000000"/>
                <w:sz w:val="20"/>
                <w:szCs w:val="20"/>
                <w:lang w:eastAsia="en-GB"/>
              </w:rPr>
            </w:pPr>
            <w:r w:rsidRPr="004F3092">
              <w:rPr>
                <w:rFonts w:ascii="Arial" w:eastAsia="Times New Roman" w:hAnsi="Arial" w:cs="Arial"/>
                <w:color w:val="000000"/>
                <w:sz w:val="20"/>
                <w:szCs w:val="20"/>
                <w:lang w:eastAsia="en-GB"/>
              </w:rPr>
              <w:t>237,449.3</w:t>
            </w:r>
          </w:p>
        </w:tc>
      </w:tr>
      <w:tr w:rsidR="00AB15E6" w:rsidRPr="00DD162A" w14:paraId="72B1434C" w14:textId="77777777" w:rsidTr="00B82B88">
        <w:trPr>
          <w:trHeight w:val="288"/>
        </w:trPr>
        <w:tc>
          <w:tcPr>
            <w:tcW w:w="3969" w:type="dxa"/>
            <w:tcBorders>
              <w:top w:val="nil"/>
              <w:left w:val="nil"/>
              <w:bottom w:val="nil"/>
              <w:right w:val="nil"/>
            </w:tcBorders>
            <w:shd w:val="clear" w:color="auto" w:fill="auto"/>
            <w:noWrap/>
            <w:hideMark/>
          </w:tcPr>
          <w:p w14:paraId="4CE5EC11" w14:textId="77777777" w:rsidR="00AB15E6" w:rsidRPr="00DD162A" w:rsidRDefault="00AB15E6" w:rsidP="00AB15E6">
            <w:pPr>
              <w:jc w:val="right"/>
              <w:rPr>
                <w:rFonts w:ascii="Arial" w:eastAsia="Times New Roman" w:hAnsi="Arial" w:cs="Arial"/>
                <w:color w:val="000000"/>
                <w:sz w:val="20"/>
                <w:szCs w:val="20"/>
                <w:lang w:eastAsia="en-GB"/>
              </w:rPr>
            </w:pPr>
          </w:p>
        </w:tc>
        <w:tc>
          <w:tcPr>
            <w:tcW w:w="709" w:type="dxa"/>
            <w:tcBorders>
              <w:top w:val="nil"/>
              <w:left w:val="nil"/>
              <w:bottom w:val="nil"/>
              <w:right w:val="nil"/>
            </w:tcBorders>
            <w:shd w:val="clear" w:color="auto" w:fill="auto"/>
            <w:noWrap/>
            <w:hideMark/>
          </w:tcPr>
          <w:p w14:paraId="2B9E2EE7" w14:textId="77777777" w:rsidR="00AB15E6" w:rsidRPr="00DD162A" w:rsidRDefault="00AB15E6" w:rsidP="00AB15E6">
            <w:pPr>
              <w:rPr>
                <w:rFonts w:ascii="Arial" w:eastAsia="Times New Roman" w:hAnsi="Arial" w:cs="Arial"/>
                <w:sz w:val="20"/>
                <w:szCs w:val="20"/>
                <w:lang w:eastAsia="en-GB"/>
              </w:rPr>
            </w:pPr>
          </w:p>
        </w:tc>
        <w:tc>
          <w:tcPr>
            <w:tcW w:w="1464" w:type="dxa"/>
            <w:tcBorders>
              <w:top w:val="nil"/>
              <w:left w:val="nil"/>
              <w:bottom w:val="nil"/>
              <w:right w:val="nil"/>
            </w:tcBorders>
            <w:shd w:val="clear" w:color="auto" w:fill="auto"/>
            <w:noWrap/>
          </w:tcPr>
          <w:p w14:paraId="6E7A2EE1" w14:textId="77777777" w:rsidR="00AB15E6" w:rsidRPr="00DD162A" w:rsidRDefault="00AB15E6" w:rsidP="00AB15E6">
            <w:pPr>
              <w:rPr>
                <w:rFonts w:ascii="Arial" w:eastAsia="Times New Roman" w:hAnsi="Arial" w:cs="Arial"/>
                <w:sz w:val="20"/>
                <w:szCs w:val="20"/>
                <w:lang w:eastAsia="en-GB"/>
              </w:rPr>
            </w:pPr>
          </w:p>
        </w:tc>
        <w:tc>
          <w:tcPr>
            <w:tcW w:w="1465" w:type="dxa"/>
            <w:tcBorders>
              <w:top w:val="nil"/>
              <w:left w:val="nil"/>
              <w:bottom w:val="nil"/>
              <w:right w:val="nil"/>
            </w:tcBorders>
          </w:tcPr>
          <w:p w14:paraId="60655B35" w14:textId="77777777" w:rsidR="00AB15E6" w:rsidRPr="00DD162A" w:rsidRDefault="00AB15E6" w:rsidP="00AB15E6">
            <w:pPr>
              <w:rPr>
                <w:rFonts w:ascii="Arial" w:eastAsia="Times New Roman" w:hAnsi="Arial" w:cs="Arial"/>
                <w:sz w:val="20"/>
                <w:szCs w:val="20"/>
                <w:lang w:eastAsia="en-GB"/>
              </w:rPr>
            </w:pPr>
          </w:p>
        </w:tc>
        <w:tc>
          <w:tcPr>
            <w:tcW w:w="1465" w:type="dxa"/>
            <w:tcBorders>
              <w:top w:val="nil"/>
              <w:left w:val="nil"/>
              <w:bottom w:val="nil"/>
              <w:right w:val="nil"/>
            </w:tcBorders>
          </w:tcPr>
          <w:p w14:paraId="2B68E8A1" w14:textId="77777777" w:rsidR="00AB15E6" w:rsidRPr="0031229D" w:rsidRDefault="00AB15E6" w:rsidP="00AB15E6">
            <w:pPr>
              <w:jc w:val="right"/>
              <w:rPr>
                <w:rFonts w:ascii="Arial" w:eastAsia="Times New Roman" w:hAnsi="Arial" w:cs="Arial"/>
                <w:color w:val="000000"/>
                <w:sz w:val="20"/>
                <w:szCs w:val="20"/>
                <w:lang w:eastAsia="en-GB"/>
              </w:rPr>
            </w:pPr>
          </w:p>
        </w:tc>
      </w:tr>
      <w:tr w:rsidR="00AB15E6" w:rsidRPr="00DD162A" w14:paraId="6DE62F9B" w14:textId="77777777" w:rsidTr="00B82B88">
        <w:trPr>
          <w:trHeight w:val="288"/>
        </w:trPr>
        <w:tc>
          <w:tcPr>
            <w:tcW w:w="3969" w:type="dxa"/>
            <w:tcBorders>
              <w:top w:val="nil"/>
              <w:left w:val="nil"/>
              <w:bottom w:val="nil"/>
              <w:right w:val="nil"/>
            </w:tcBorders>
            <w:shd w:val="clear" w:color="auto" w:fill="auto"/>
            <w:noWrap/>
            <w:vAlign w:val="center"/>
            <w:hideMark/>
          </w:tcPr>
          <w:p w14:paraId="156FC082" w14:textId="77777777" w:rsidR="00AB15E6" w:rsidRPr="00DD162A" w:rsidRDefault="00AB15E6" w:rsidP="00AB15E6">
            <w:pPr>
              <w:rPr>
                <w:rFonts w:ascii="Arial" w:eastAsia="Times New Roman" w:hAnsi="Arial" w:cs="Arial"/>
                <w:color w:val="000000"/>
                <w:sz w:val="20"/>
                <w:szCs w:val="20"/>
                <w:lang w:eastAsia="en-GB"/>
              </w:rPr>
            </w:pPr>
            <w:r w:rsidRPr="00DD162A">
              <w:rPr>
                <w:rFonts w:ascii="Arial" w:eastAsia="Times New Roman" w:hAnsi="Arial" w:cs="Arial"/>
                <w:color w:val="000000"/>
                <w:sz w:val="20"/>
                <w:szCs w:val="20"/>
                <w:lang w:eastAsia="en-GB"/>
              </w:rPr>
              <w:t>Cost of sales</w:t>
            </w:r>
          </w:p>
        </w:tc>
        <w:tc>
          <w:tcPr>
            <w:tcW w:w="709" w:type="dxa"/>
            <w:tcBorders>
              <w:top w:val="nil"/>
              <w:left w:val="nil"/>
              <w:bottom w:val="nil"/>
              <w:right w:val="nil"/>
            </w:tcBorders>
            <w:shd w:val="clear" w:color="auto" w:fill="auto"/>
            <w:noWrap/>
            <w:hideMark/>
          </w:tcPr>
          <w:p w14:paraId="7B39057A" w14:textId="77777777" w:rsidR="00AB15E6" w:rsidRPr="00DD162A" w:rsidRDefault="00AB15E6" w:rsidP="00AB15E6">
            <w:pPr>
              <w:rPr>
                <w:rFonts w:ascii="Arial" w:eastAsia="Times New Roman" w:hAnsi="Arial" w:cs="Arial"/>
                <w:color w:val="000000"/>
                <w:sz w:val="20"/>
                <w:szCs w:val="20"/>
                <w:lang w:eastAsia="en-GB"/>
              </w:rPr>
            </w:pPr>
          </w:p>
        </w:tc>
        <w:tc>
          <w:tcPr>
            <w:tcW w:w="1464" w:type="dxa"/>
            <w:tcBorders>
              <w:top w:val="nil"/>
              <w:left w:val="nil"/>
              <w:bottom w:val="nil"/>
              <w:right w:val="nil"/>
            </w:tcBorders>
            <w:shd w:val="clear" w:color="auto" w:fill="auto"/>
            <w:noWrap/>
            <w:vAlign w:val="center"/>
          </w:tcPr>
          <w:p w14:paraId="559419BF" w14:textId="25E99915" w:rsidR="00AB15E6" w:rsidRPr="00DD162A" w:rsidRDefault="009A3BF3" w:rsidP="00AB15E6">
            <w:pPr>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(56,465.3)</w:t>
            </w:r>
          </w:p>
        </w:tc>
        <w:tc>
          <w:tcPr>
            <w:tcW w:w="1465" w:type="dxa"/>
            <w:tcBorders>
              <w:top w:val="nil"/>
              <w:left w:val="nil"/>
              <w:bottom w:val="nil"/>
              <w:right w:val="nil"/>
            </w:tcBorders>
            <w:vAlign w:val="center"/>
          </w:tcPr>
          <w:p w14:paraId="2DAC9B1D" w14:textId="39F5009A" w:rsidR="00AB15E6" w:rsidRPr="00DD162A" w:rsidRDefault="00AB15E6" w:rsidP="00AB15E6">
            <w:pPr>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(48,746.6)</w:t>
            </w:r>
          </w:p>
        </w:tc>
        <w:tc>
          <w:tcPr>
            <w:tcW w:w="1465" w:type="dxa"/>
            <w:tcBorders>
              <w:top w:val="nil"/>
              <w:left w:val="nil"/>
              <w:bottom w:val="nil"/>
              <w:right w:val="nil"/>
            </w:tcBorders>
            <w:vAlign w:val="center"/>
          </w:tcPr>
          <w:p w14:paraId="51C7827F" w14:textId="777ED4EE" w:rsidR="00AB15E6" w:rsidRPr="0031229D" w:rsidRDefault="00AB15E6" w:rsidP="00AB15E6">
            <w:pPr>
              <w:jc w:val="right"/>
              <w:rPr>
                <w:rFonts w:ascii="Arial" w:eastAsia="Times New Roman" w:hAnsi="Arial" w:cs="Arial"/>
                <w:color w:val="000000"/>
                <w:sz w:val="20"/>
                <w:szCs w:val="20"/>
                <w:lang w:eastAsia="en-GB"/>
              </w:rPr>
            </w:pPr>
            <w:r w:rsidRPr="004F3092">
              <w:rPr>
                <w:rFonts w:ascii="Arial" w:eastAsia="Times New Roman" w:hAnsi="Arial" w:cs="Arial"/>
                <w:color w:val="000000"/>
                <w:sz w:val="20"/>
                <w:szCs w:val="20"/>
                <w:lang w:eastAsia="en-GB"/>
              </w:rPr>
              <w:t>(114,489.2)</w:t>
            </w:r>
          </w:p>
        </w:tc>
      </w:tr>
      <w:tr w:rsidR="00AB15E6" w:rsidRPr="00DD162A" w14:paraId="16258C21" w14:textId="77777777" w:rsidTr="00B82B88">
        <w:trPr>
          <w:trHeight w:val="288"/>
        </w:trPr>
        <w:tc>
          <w:tcPr>
            <w:tcW w:w="3969" w:type="dxa"/>
            <w:tcBorders>
              <w:top w:val="nil"/>
              <w:left w:val="nil"/>
              <w:bottom w:val="nil"/>
              <w:right w:val="nil"/>
            </w:tcBorders>
            <w:shd w:val="clear" w:color="auto" w:fill="auto"/>
            <w:noWrap/>
            <w:vAlign w:val="center"/>
            <w:hideMark/>
          </w:tcPr>
          <w:p w14:paraId="32BD359C" w14:textId="77777777" w:rsidR="00AB15E6" w:rsidRPr="00DD162A" w:rsidRDefault="00AB15E6" w:rsidP="00AB15E6">
            <w:pPr>
              <w:jc w:val="right"/>
              <w:rPr>
                <w:rFonts w:ascii="Arial" w:eastAsia="Times New Roman" w:hAnsi="Arial" w:cs="Arial"/>
                <w:color w:val="000000"/>
                <w:sz w:val="20"/>
                <w:szCs w:val="20"/>
                <w:lang w:eastAsia="en-GB"/>
              </w:rPr>
            </w:pPr>
          </w:p>
        </w:tc>
        <w:tc>
          <w:tcPr>
            <w:tcW w:w="709" w:type="dxa"/>
            <w:tcBorders>
              <w:top w:val="nil"/>
              <w:left w:val="nil"/>
              <w:bottom w:val="nil"/>
              <w:right w:val="nil"/>
            </w:tcBorders>
            <w:shd w:val="clear" w:color="auto" w:fill="auto"/>
            <w:noWrap/>
            <w:hideMark/>
          </w:tcPr>
          <w:p w14:paraId="1FBE7585" w14:textId="77777777" w:rsidR="00AB15E6" w:rsidRPr="00DD162A" w:rsidRDefault="00AB15E6" w:rsidP="00AB15E6">
            <w:pPr>
              <w:rPr>
                <w:rFonts w:ascii="Arial" w:eastAsia="Times New Roman" w:hAnsi="Arial" w:cs="Arial"/>
                <w:sz w:val="20"/>
                <w:szCs w:val="20"/>
                <w:lang w:eastAsia="en-GB"/>
              </w:rPr>
            </w:pPr>
          </w:p>
        </w:tc>
        <w:tc>
          <w:tcPr>
            <w:tcW w:w="1464" w:type="dxa"/>
            <w:tcBorders>
              <w:top w:val="nil"/>
              <w:left w:val="nil"/>
              <w:bottom w:val="single" w:sz="4" w:space="0" w:color="auto"/>
              <w:right w:val="nil"/>
            </w:tcBorders>
            <w:shd w:val="clear" w:color="auto" w:fill="auto"/>
            <w:noWrap/>
            <w:vAlign w:val="center"/>
          </w:tcPr>
          <w:p w14:paraId="68AF2C9B" w14:textId="77777777" w:rsidR="00AB15E6" w:rsidRPr="00DD162A" w:rsidRDefault="00AB15E6" w:rsidP="00AB15E6">
            <w:pPr>
              <w:jc w:val="right"/>
              <w:rPr>
                <w:rFonts w:ascii="Arial" w:eastAsia="Times New Roman" w:hAnsi="Arial" w:cs="Arial"/>
                <w:color w:val="000000"/>
                <w:sz w:val="20"/>
                <w:szCs w:val="20"/>
                <w:lang w:eastAsia="en-GB"/>
              </w:rPr>
            </w:pPr>
          </w:p>
        </w:tc>
        <w:tc>
          <w:tcPr>
            <w:tcW w:w="1465" w:type="dxa"/>
            <w:tcBorders>
              <w:top w:val="nil"/>
              <w:left w:val="nil"/>
              <w:bottom w:val="single" w:sz="4" w:space="0" w:color="auto"/>
              <w:right w:val="nil"/>
            </w:tcBorders>
            <w:vAlign w:val="center"/>
          </w:tcPr>
          <w:p w14:paraId="234F267A" w14:textId="77777777" w:rsidR="00AB15E6" w:rsidRPr="00DD162A" w:rsidRDefault="00AB15E6" w:rsidP="00AB15E6">
            <w:pPr>
              <w:jc w:val="right"/>
              <w:rPr>
                <w:rFonts w:ascii="Arial" w:eastAsia="Times New Roman" w:hAnsi="Arial" w:cs="Arial"/>
                <w:color w:val="000000"/>
                <w:sz w:val="20"/>
                <w:szCs w:val="20"/>
                <w:lang w:eastAsia="en-GB"/>
              </w:rPr>
            </w:pPr>
          </w:p>
        </w:tc>
        <w:tc>
          <w:tcPr>
            <w:tcW w:w="1465" w:type="dxa"/>
            <w:tcBorders>
              <w:top w:val="nil"/>
              <w:left w:val="nil"/>
              <w:bottom w:val="single" w:sz="4" w:space="0" w:color="auto"/>
              <w:right w:val="nil"/>
            </w:tcBorders>
            <w:vAlign w:val="center"/>
          </w:tcPr>
          <w:p w14:paraId="2E83ECF0" w14:textId="57BB982F" w:rsidR="00AB15E6" w:rsidRPr="0031229D" w:rsidRDefault="00AB15E6" w:rsidP="00AB15E6">
            <w:pPr>
              <w:jc w:val="right"/>
              <w:rPr>
                <w:rFonts w:ascii="Arial" w:eastAsia="Times New Roman" w:hAnsi="Arial" w:cs="Arial"/>
                <w:color w:val="000000"/>
                <w:sz w:val="20"/>
                <w:szCs w:val="20"/>
                <w:lang w:eastAsia="en-GB"/>
              </w:rPr>
            </w:pPr>
            <w:r w:rsidRPr="004F3092">
              <w:rPr>
                <w:rFonts w:ascii="Arial" w:eastAsia="Times New Roman" w:hAnsi="Arial" w:cs="Arial"/>
                <w:color w:val="000000"/>
                <w:sz w:val="20"/>
                <w:szCs w:val="20"/>
                <w:lang w:eastAsia="en-GB"/>
              </w:rPr>
              <w:t> </w:t>
            </w:r>
          </w:p>
        </w:tc>
      </w:tr>
      <w:tr w:rsidR="00AB15E6" w:rsidRPr="00DD162A" w14:paraId="6BBD7C13" w14:textId="77777777" w:rsidTr="00B82B88">
        <w:trPr>
          <w:trHeight w:val="288"/>
        </w:trPr>
        <w:tc>
          <w:tcPr>
            <w:tcW w:w="3969" w:type="dxa"/>
            <w:tcBorders>
              <w:top w:val="nil"/>
              <w:left w:val="nil"/>
              <w:bottom w:val="nil"/>
              <w:right w:val="nil"/>
            </w:tcBorders>
            <w:shd w:val="clear" w:color="auto" w:fill="auto"/>
            <w:noWrap/>
            <w:hideMark/>
          </w:tcPr>
          <w:p w14:paraId="397D98C4" w14:textId="77777777" w:rsidR="00AB15E6" w:rsidRPr="00DD162A" w:rsidRDefault="00AB15E6" w:rsidP="00AB15E6">
            <w:pPr>
              <w:jc w:val="right"/>
              <w:rPr>
                <w:rFonts w:ascii="Arial" w:eastAsia="Times New Roman" w:hAnsi="Arial" w:cs="Arial"/>
                <w:color w:val="000000"/>
                <w:sz w:val="20"/>
                <w:szCs w:val="20"/>
                <w:lang w:eastAsia="en-GB"/>
              </w:rPr>
            </w:pPr>
          </w:p>
        </w:tc>
        <w:tc>
          <w:tcPr>
            <w:tcW w:w="709" w:type="dxa"/>
            <w:tcBorders>
              <w:top w:val="nil"/>
              <w:left w:val="nil"/>
              <w:bottom w:val="nil"/>
              <w:right w:val="nil"/>
            </w:tcBorders>
            <w:shd w:val="clear" w:color="auto" w:fill="auto"/>
            <w:noWrap/>
            <w:hideMark/>
          </w:tcPr>
          <w:p w14:paraId="225A7BAF" w14:textId="77777777" w:rsidR="00AB15E6" w:rsidRPr="00DD162A" w:rsidRDefault="00AB15E6" w:rsidP="00AB15E6">
            <w:pPr>
              <w:rPr>
                <w:rFonts w:ascii="Arial" w:eastAsia="Times New Roman" w:hAnsi="Arial" w:cs="Arial"/>
                <w:sz w:val="20"/>
                <w:szCs w:val="20"/>
                <w:lang w:eastAsia="en-GB"/>
              </w:rPr>
            </w:pPr>
          </w:p>
        </w:tc>
        <w:tc>
          <w:tcPr>
            <w:tcW w:w="1464" w:type="dxa"/>
            <w:tcBorders>
              <w:top w:val="nil"/>
              <w:left w:val="nil"/>
              <w:bottom w:val="nil"/>
              <w:right w:val="nil"/>
            </w:tcBorders>
            <w:shd w:val="clear" w:color="auto" w:fill="auto"/>
            <w:noWrap/>
          </w:tcPr>
          <w:p w14:paraId="0447B24F" w14:textId="77777777" w:rsidR="00AB15E6" w:rsidRPr="00DD162A" w:rsidRDefault="00AB15E6" w:rsidP="00AB15E6">
            <w:pPr>
              <w:rPr>
                <w:rFonts w:ascii="Arial" w:eastAsia="Times New Roman" w:hAnsi="Arial" w:cs="Arial"/>
                <w:sz w:val="20"/>
                <w:szCs w:val="20"/>
                <w:lang w:eastAsia="en-GB"/>
              </w:rPr>
            </w:pPr>
          </w:p>
        </w:tc>
        <w:tc>
          <w:tcPr>
            <w:tcW w:w="1465" w:type="dxa"/>
            <w:tcBorders>
              <w:top w:val="nil"/>
              <w:left w:val="nil"/>
              <w:bottom w:val="nil"/>
              <w:right w:val="nil"/>
            </w:tcBorders>
          </w:tcPr>
          <w:p w14:paraId="4D9029FC" w14:textId="77777777" w:rsidR="00AB15E6" w:rsidRPr="00DD162A" w:rsidRDefault="00AB15E6" w:rsidP="00AB15E6">
            <w:pPr>
              <w:rPr>
                <w:rFonts w:ascii="Arial" w:eastAsia="Times New Roman" w:hAnsi="Arial" w:cs="Arial"/>
                <w:sz w:val="20"/>
                <w:szCs w:val="20"/>
                <w:lang w:eastAsia="en-GB"/>
              </w:rPr>
            </w:pPr>
          </w:p>
        </w:tc>
        <w:tc>
          <w:tcPr>
            <w:tcW w:w="1465" w:type="dxa"/>
            <w:tcBorders>
              <w:top w:val="nil"/>
              <w:left w:val="nil"/>
              <w:bottom w:val="nil"/>
              <w:right w:val="nil"/>
            </w:tcBorders>
          </w:tcPr>
          <w:p w14:paraId="2EA7859C" w14:textId="77777777" w:rsidR="00AB15E6" w:rsidRPr="0031229D" w:rsidRDefault="00AB15E6" w:rsidP="00AB15E6">
            <w:pPr>
              <w:jc w:val="right"/>
              <w:rPr>
                <w:rFonts w:ascii="Arial" w:eastAsia="Times New Roman" w:hAnsi="Arial" w:cs="Arial"/>
                <w:color w:val="000000"/>
                <w:sz w:val="20"/>
                <w:szCs w:val="20"/>
                <w:lang w:eastAsia="en-GB"/>
              </w:rPr>
            </w:pPr>
          </w:p>
        </w:tc>
      </w:tr>
      <w:tr w:rsidR="00AB15E6" w:rsidRPr="00DD162A" w14:paraId="070F582B" w14:textId="77777777" w:rsidTr="00B82B88">
        <w:trPr>
          <w:trHeight w:val="288"/>
        </w:trPr>
        <w:tc>
          <w:tcPr>
            <w:tcW w:w="3969" w:type="dxa"/>
            <w:tcBorders>
              <w:top w:val="nil"/>
              <w:left w:val="nil"/>
              <w:bottom w:val="nil"/>
              <w:right w:val="nil"/>
            </w:tcBorders>
            <w:shd w:val="clear" w:color="auto" w:fill="auto"/>
            <w:noWrap/>
            <w:vAlign w:val="center"/>
            <w:hideMark/>
          </w:tcPr>
          <w:p w14:paraId="5F4DCCE7" w14:textId="77777777" w:rsidR="00AB15E6" w:rsidRPr="00DD162A" w:rsidRDefault="00AB15E6" w:rsidP="00AB15E6">
            <w:pPr>
              <w:rPr>
                <w:rFonts w:ascii="Arial" w:eastAsia="Times New Roman" w:hAnsi="Arial" w:cs="Arial"/>
                <w:b/>
                <w:bCs/>
                <w:color w:val="000000"/>
                <w:sz w:val="20"/>
                <w:szCs w:val="20"/>
                <w:lang w:eastAsia="en-GB"/>
              </w:rPr>
            </w:pPr>
            <w:r w:rsidRPr="00DD162A">
              <w:rPr>
                <w:rFonts w:ascii="Arial" w:eastAsia="Times New Roman" w:hAnsi="Arial" w:cs="Arial"/>
                <w:b/>
                <w:bCs/>
                <w:color w:val="000000"/>
                <w:sz w:val="20"/>
                <w:szCs w:val="20"/>
                <w:lang w:eastAsia="en-GB"/>
              </w:rPr>
              <w:t>Gross profit</w:t>
            </w:r>
          </w:p>
        </w:tc>
        <w:tc>
          <w:tcPr>
            <w:tcW w:w="709" w:type="dxa"/>
            <w:tcBorders>
              <w:top w:val="nil"/>
              <w:left w:val="nil"/>
              <w:bottom w:val="nil"/>
              <w:right w:val="nil"/>
            </w:tcBorders>
            <w:shd w:val="clear" w:color="auto" w:fill="auto"/>
            <w:noWrap/>
            <w:hideMark/>
          </w:tcPr>
          <w:p w14:paraId="46BA9841" w14:textId="77777777" w:rsidR="00AB15E6" w:rsidRPr="00DD162A" w:rsidRDefault="00AB15E6" w:rsidP="00AB15E6">
            <w:pPr>
              <w:rPr>
                <w:rFonts w:ascii="Arial" w:eastAsia="Times New Roman" w:hAnsi="Arial" w:cs="Arial"/>
                <w:b/>
                <w:bCs/>
                <w:color w:val="000000"/>
                <w:sz w:val="20"/>
                <w:szCs w:val="20"/>
                <w:lang w:eastAsia="en-GB"/>
              </w:rPr>
            </w:pPr>
          </w:p>
        </w:tc>
        <w:tc>
          <w:tcPr>
            <w:tcW w:w="1464" w:type="dxa"/>
            <w:tcBorders>
              <w:top w:val="nil"/>
              <w:left w:val="nil"/>
              <w:bottom w:val="nil"/>
              <w:right w:val="nil"/>
            </w:tcBorders>
            <w:shd w:val="clear" w:color="auto" w:fill="auto"/>
            <w:vAlign w:val="center"/>
          </w:tcPr>
          <w:p w14:paraId="7F6FC363" w14:textId="1B4650CA" w:rsidR="00AB15E6" w:rsidRPr="00DD162A" w:rsidRDefault="009A3BF3" w:rsidP="00AB15E6">
            <w:pPr>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60,846.8</w:t>
            </w:r>
          </w:p>
        </w:tc>
        <w:tc>
          <w:tcPr>
            <w:tcW w:w="1465" w:type="dxa"/>
            <w:tcBorders>
              <w:top w:val="nil"/>
              <w:left w:val="nil"/>
              <w:bottom w:val="nil"/>
              <w:right w:val="nil"/>
            </w:tcBorders>
            <w:vAlign w:val="center"/>
          </w:tcPr>
          <w:p w14:paraId="7DA79BA1" w14:textId="0724D9B5" w:rsidR="00AB15E6" w:rsidRPr="00DD162A" w:rsidRDefault="00AB15E6" w:rsidP="00AB15E6">
            <w:pPr>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55,466.5</w:t>
            </w:r>
          </w:p>
        </w:tc>
        <w:tc>
          <w:tcPr>
            <w:tcW w:w="1465" w:type="dxa"/>
            <w:tcBorders>
              <w:top w:val="nil"/>
              <w:left w:val="nil"/>
              <w:bottom w:val="nil"/>
              <w:right w:val="nil"/>
            </w:tcBorders>
            <w:vAlign w:val="center"/>
          </w:tcPr>
          <w:p w14:paraId="220A7AA2" w14:textId="52CA284D" w:rsidR="00AB15E6" w:rsidRPr="00AB15E6" w:rsidRDefault="00AB15E6" w:rsidP="00AB15E6">
            <w:pPr>
              <w:jc w:val="right"/>
              <w:rPr>
                <w:rFonts w:ascii="Arial" w:eastAsia="Times New Roman" w:hAnsi="Arial" w:cs="Arial"/>
                <w:b/>
                <w:bCs/>
                <w:color w:val="000000"/>
                <w:sz w:val="20"/>
                <w:szCs w:val="20"/>
                <w:lang w:eastAsia="en-GB"/>
              </w:rPr>
            </w:pPr>
            <w:r w:rsidRPr="00AB15E6">
              <w:rPr>
                <w:rFonts w:ascii="Arial" w:eastAsia="Times New Roman" w:hAnsi="Arial" w:cs="Arial"/>
                <w:b/>
                <w:bCs/>
                <w:color w:val="000000"/>
                <w:sz w:val="20"/>
                <w:szCs w:val="20"/>
                <w:lang w:eastAsia="en-GB"/>
              </w:rPr>
              <w:t>122,960.1</w:t>
            </w:r>
          </w:p>
        </w:tc>
      </w:tr>
      <w:tr w:rsidR="00AB15E6" w:rsidRPr="00DD162A" w14:paraId="5C14A50E" w14:textId="77777777" w:rsidTr="00B82B88">
        <w:trPr>
          <w:trHeight w:val="288"/>
        </w:trPr>
        <w:tc>
          <w:tcPr>
            <w:tcW w:w="3969" w:type="dxa"/>
            <w:tcBorders>
              <w:top w:val="nil"/>
              <w:left w:val="nil"/>
              <w:right w:val="nil"/>
            </w:tcBorders>
            <w:shd w:val="clear" w:color="auto" w:fill="auto"/>
            <w:noWrap/>
            <w:hideMark/>
          </w:tcPr>
          <w:p w14:paraId="72B62FC0" w14:textId="77777777" w:rsidR="00AB15E6" w:rsidRPr="00DD162A" w:rsidRDefault="00AB15E6" w:rsidP="00AB15E6">
            <w:pPr>
              <w:jc w:val="right"/>
              <w:rPr>
                <w:rFonts w:ascii="Arial" w:eastAsia="Times New Roman" w:hAnsi="Arial" w:cs="Arial"/>
                <w:b/>
                <w:bCs/>
                <w:color w:val="000000"/>
                <w:sz w:val="20"/>
                <w:szCs w:val="20"/>
                <w:lang w:eastAsia="en-GB"/>
              </w:rPr>
            </w:pPr>
          </w:p>
        </w:tc>
        <w:tc>
          <w:tcPr>
            <w:tcW w:w="709" w:type="dxa"/>
            <w:tcBorders>
              <w:top w:val="nil"/>
              <w:left w:val="nil"/>
              <w:right w:val="nil"/>
            </w:tcBorders>
            <w:shd w:val="clear" w:color="auto" w:fill="auto"/>
            <w:noWrap/>
            <w:hideMark/>
          </w:tcPr>
          <w:p w14:paraId="5252D98D" w14:textId="77777777" w:rsidR="00AB15E6" w:rsidRPr="00DD162A" w:rsidRDefault="00AB15E6" w:rsidP="00AB15E6">
            <w:pPr>
              <w:rPr>
                <w:rFonts w:ascii="Arial" w:eastAsia="Times New Roman" w:hAnsi="Arial" w:cs="Arial"/>
                <w:sz w:val="20"/>
                <w:szCs w:val="20"/>
                <w:lang w:eastAsia="en-GB"/>
              </w:rPr>
            </w:pPr>
          </w:p>
        </w:tc>
        <w:tc>
          <w:tcPr>
            <w:tcW w:w="1464" w:type="dxa"/>
            <w:tcBorders>
              <w:top w:val="nil"/>
              <w:left w:val="nil"/>
              <w:right w:val="nil"/>
            </w:tcBorders>
            <w:shd w:val="clear" w:color="auto" w:fill="auto"/>
            <w:noWrap/>
          </w:tcPr>
          <w:p w14:paraId="4F70D95A" w14:textId="77777777" w:rsidR="00AB15E6" w:rsidRPr="00DD162A" w:rsidRDefault="00AB15E6" w:rsidP="00AB15E6">
            <w:pPr>
              <w:rPr>
                <w:rFonts w:ascii="Arial" w:eastAsia="Times New Roman" w:hAnsi="Arial" w:cs="Arial"/>
                <w:sz w:val="20"/>
                <w:szCs w:val="20"/>
                <w:lang w:eastAsia="en-GB"/>
              </w:rPr>
            </w:pPr>
          </w:p>
        </w:tc>
        <w:tc>
          <w:tcPr>
            <w:tcW w:w="1465" w:type="dxa"/>
            <w:tcBorders>
              <w:top w:val="nil"/>
              <w:left w:val="nil"/>
              <w:right w:val="nil"/>
            </w:tcBorders>
          </w:tcPr>
          <w:p w14:paraId="374F3773" w14:textId="77777777" w:rsidR="00AB15E6" w:rsidRPr="00DD162A" w:rsidRDefault="00AB15E6" w:rsidP="00AB15E6">
            <w:pPr>
              <w:rPr>
                <w:rFonts w:ascii="Arial" w:eastAsia="Times New Roman" w:hAnsi="Arial" w:cs="Arial"/>
                <w:sz w:val="20"/>
                <w:szCs w:val="20"/>
                <w:lang w:eastAsia="en-GB"/>
              </w:rPr>
            </w:pPr>
          </w:p>
        </w:tc>
        <w:tc>
          <w:tcPr>
            <w:tcW w:w="1465" w:type="dxa"/>
            <w:tcBorders>
              <w:top w:val="nil"/>
              <w:left w:val="nil"/>
              <w:right w:val="nil"/>
            </w:tcBorders>
          </w:tcPr>
          <w:p w14:paraId="750F03E0" w14:textId="77777777" w:rsidR="00AB15E6" w:rsidRPr="0031229D" w:rsidRDefault="00AB15E6" w:rsidP="00AB15E6">
            <w:pPr>
              <w:jc w:val="right"/>
              <w:rPr>
                <w:rFonts w:ascii="Arial" w:eastAsia="Times New Roman" w:hAnsi="Arial" w:cs="Arial"/>
                <w:color w:val="000000"/>
                <w:sz w:val="20"/>
                <w:szCs w:val="20"/>
                <w:lang w:eastAsia="en-GB"/>
              </w:rPr>
            </w:pPr>
          </w:p>
        </w:tc>
      </w:tr>
      <w:tr w:rsidR="00AB15E6" w:rsidRPr="00DD162A" w14:paraId="5EE47770" w14:textId="77777777" w:rsidTr="00B82B88">
        <w:trPr>
          <w:trHeight w:val="288"/>
        </w:trPr>
        <w:tc>
          <w:tcPr>
            <w:tcW w:w="3969" w:type="dxa"/>
            <w:tcBorders>
              <w:top w:val="nil"/>
              <w:left w:val="nil"/>
              <w:right w:val="nil"/>
            </w:tcBorders>
            <w:shd w:val="clear" w:color="auto" w:fill="auto"/>
            <w:noWrap/>
            <w:vAlign w:val="center"/>
            <w:hideMark/>
          </w:tcPr>
          <w:p w14:paraId="1F0CED85" w14:textId="77777777" w:rsidR="00AB15E6" w:rsidRPr="00DD162A" w:rsidRDefault="00AB15E6" w:rsidP="00AB15E6">
            <w:pPr>
              <w:rPr>
                <w:rFonts w:ascii="Arial" w:eastAsia="Times New Roman" w:hAnsi="Arial" w:cs="Arial"/>
                <w:color w:val="000000"/>
                <w:sz w:val="20"/>
                <w:szCs w:val="20"/>
                <w:lang w:eastAsia="en-GB"/>
              </w:rPr>
            </w:pPr>
            <w:r w:rsidRPr="00DD162A">
              <w:rPr>
                <w:rFonts w:ascii="Arial" w:eastAsia="Times New Roman" w:hAnsi="Arial" w:cs="Arial"/>
                <w:color w:val="000000"/>
                <w:sz w:val="20"/>
                <w:szCs w:val="20"/>
                <w:lang w:eastAsia="en-GB"/>
              </w:rPr>
              <w:t>Administrative expenses</w:t>
            </w:r>
          </w:p>
        </w:tc>
        <w:tc>
          <w:tcPr>
            <w:tcW w:w="709" w:type="dxa"/>
            <w:tcBorders>
              <w:top w:val="nil"/>
              <w:left w:val="nil"/>
              <w:right w:val="nil"/>
            </w:tcBorders>
            <w:shd w:val="clear" w:color="auto" w:fill="auto"/>
            <w:noWrap/>
            <w:hideMark/>
          </w:tcPr>
          <w:p w14:paraId="4E00BC37" w14:textId="77777777" w:rsidR="00AB15E6" w:rsidRPr="00DD162A" w:rsidRDefault="00AB15E6" w:rsidP="00AB15E6">
            <w:pPr>
              <w:rPr>
                <w:rFonts w:ascii="Arial" w:eastAsia="Times New Roman" w:hAnsi="Arial" w:cs="Arial"/>
                <w:color w:val="000000"/>
                <w:sz w:val="20"/>
                <w:szCs w:val="20"/>
                <w:lang w:eastAsia="en-GB"/>
              </w:rPr>
            </w:pPr>
          </w:p>
        </w:tc>
        <w:tc>
          <w:tcPr>
            <w:tcW w:w="1464" w:type="dxa"/>
            <w:tcBorders>
              <w:top w:val="nil"/>
              <w:left w:val="nil"/>
              <w:right w:val="nil"/>
            </w:tcBorders>
            <w:shd w:val="clear" w:color="auto" w:fill="auto"/>
            <w:noWrap/>
            <w:vAlign w:val="center"/>
          </w:tcPr>
          <w:p w14:paraId="0D416CF7" w14:textId="3F4367BD" w:rsidR="00AB15E6" w:rsidRPr="00DD162A" w:rsidRDefault="009A3BF3" w:rsidP="00AB15E6">
            <w:pPr>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(26,091.2)</w:t>
            </w:r>
          </w:p>
        </w:tc>
        <w:tc>
          <w:tcPr>
            <w:tcW w:w="1465" w:type="dxa"/>
            <w:tcBorders>
              <w:top w:val="nil"/>
              <w:left w:val="nil"/>
              <w:right w:val="nil"/>
            </w:tcBorders>
            <w:vAlign w:val="center"/>
          </w:tcPr>
          <w:p w14:paraId="21FDF12F" w14:textId="2BC0AC5A" w:rsidR="00AB15E6" w:rsidRPr="00DD162A" w:rsidRDefault="00AB15E6" w:rsidP="00AB15E6">
            <w:pPr>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(22,872.5)</w:t>
            </w:r>
          </w:p>
        </w:tc>
        <w:tc>
          <w:tcPr>
            <w:tcW w:w="1465" w:type="dxa"/>
            <w:tcBorders>
              <w:top w:val="nil"/>
              <w:left w:val="nil"/>
              <w:right w:val="nil"/>
            </w:tcBorders>
            <w:vAlign w:val="center"/>
          </w:tcPr>
          <w:p w14:paraId="261A6D6B" w14:textId="3078FB06" w:rsidR="00AB15E6" w:rsidRPr="0031229D" w:rsidRDefault="00AB15E6" w:rsidP="00AB15E6">
            <w:pPr>
              <w:jc w:val="right"/>
              <w:rPr>
                <w:rFonts w:ascii="Arial" w:eastAsia="Times New Roman" w:hAnsi="Arial" w:cs="Arial"/>
                <w:color w:val="000000"/>
                <w:sz w:val="20"/>
                <w:szCs w:val="20"/>
                <w:lang w:eastAsia="en-GB"/>
              </w:rPr>
            </w:pPr>
            <w:r w:rsidRPr="004F3092">
              <w:rPr>
                <w:rFonts w:ascii="Arial" w:eastAsia="Times New Roman" w:hAnsi="Arial" w:cs="Arial"/>
                <w:color w:val="000000"/>
                <w:sz w:val="20"/>
                <w:szCs w:val="20"/>
                <w:lang w:eastAsia="en-GB"/>
              </w:rPr>
              <w:t>(47,602.9)</w:t>
            </w:r>
          </w:p>
        </w:tc>
      </w:tr>
      <w:tr w:rsidR="00AB15E6" w:rsidRPr="00DD162A" w14:paraId="7A9BF407" w14:textId="77777777" w:rsidTr="00B82B88">
        <w:trPr>
          <w:trHeight w:val="288"/>
        </w:trPr>
        <w:tc>
          <w:tcPr>
            <w:tcW w:w="3969" w:type="dxa"/>
            <w:tcBorders>
              <w:left w:val="nil"/>
              <w:bottom w:val="single" w:sz="4" w:space="0" w:color="auto"/>
              <w:right w:val="nil"/>
            </w:tcBorders>
            <w:shd w:val="clear" w:color="auto" w:fill="auto"/>
            <w:noWrap/>
            <w:vAlign w:val="center"/>
          </w:tcPr>
          <w:p w14:paraId="7DC6EE28" w14:textId="77777777" w:rsidR="00AB15E6" w:rsidRPr="00DD162A" w:rsidRDefault="00AB15E6" w:rsidP="00AB15E6">
            <w:pPr>
              <w:rPr>
                <w:rFonts w:ascii="Arial" w:eastAsia="Times New Roman" w:hAnsi="Arial" w:cs="Arial"/>
                <w:color w:val="000000"/>
                <w:sz w:val="20"/>
                <w:szCs w:val="20"/>
                <w:lang w:eastAsia="en-GB"/>
              </w:rPr>
            </w:pPr>
          </w:p>
        </w:tc>
        <w:tc>
          <w:tcPr>
            <w:tcW w:w="709" w:type="dxa"/>
            <w:tcBorders>
              <w:left w:val="nil"/>
              <w:bottom w:val="single" w:sz="4" w:space="0" w:color="auto"/>
              <w:right w:val="nil"/>
            </w:tcBorders>
            <w:shd w:val="clear" w:color="auto" w:fill="auto"/>
            <w:noWrap/>
          </w:tcPr>
          <w:p w14:paraId="53AB7901" w14:textId="77777777" w:rsidR="00AB15E6" w:rsidRPr="00DD162A" w:rsidRDefault="00AB15E6" w:rsidP="00AB15E6">
            <w:pPr>
              <w:rPr>
                <w:rFonts w:ascii="Arial" w:eastAsia="Times New Roman" w:hAnsi="Arial" w:cs="Arial"/>
                <w:color w:val="000000"/>
                <w:sz w:val="20"/>
                <w:szCs w:val="20"/>
                <w:lang w:eastAsia="en-GB"/>
              </w:rPr>
            </w:pPr>
          </w:p>
        </w:tc>
        <w:tc>
          <w:tcPr>
            <w:tcW w:w="1464" w:type="dxa"/>
            <w:tcBorders>
              <w:left w:val="nil"/>
              <w:bottom w:val="single" w:sz="4" w:space="0" w:color="auto"/>
              <w:right w:val="nil"/>
            </w:tcBorders>
            <w:shd w:val="clear" w:color="auto" w:fill="auto"/>
            <w:noWrap/>
            <w:vAlign w:val="center"/>
          </w:tcPr>
          <w:p w14:paraId="744DFA98" w14:textId="77777777" w:rsidR="00AB15E6" w:rsidRPr="00DD162A" w:rsidRDefault="00AB15E6" w:rsidP="00AB15E6">
            <w:pPr>
              <w:jc w:val="right"/>
              <w:rPr>
                <w:rFonts w:ascii="Arial" w:eastAsia="Times New Roman" w:hAnsi="Arial" w:cs="Arial"/>
                <w:color w:val="000000"/>
                <w:sz w:val="20"/>
                <w:szCs w:val="20"/>
                <w:lang w:eastAsia="en-GB"/>
              </w:rPr>
            </w:pPr>
          </w:p>
        </w:tc>
        <w:tc>
          <w:tcPr>
            <w:tcW w:w="1465" w:type="dxa"/>
            <w:tcBorders>
              <w:left w:val="nil"/>
              <w:bottom w:val="single" w:sz="4" w:space="0" w:color="auto"/>
              <w:right w:val="nil"/>
            </w:tcBorders>
            <w:vAlign w:val="center"/>
          </w:tcPr>
          <w:p w14:paraId="6E939440" w14:textId="77777777" w:rsidR="00AB15E6" w:rsidRPr="00DD162A" w:rsidRDefault="00AB15E6" w:rsidP="00AB15E6">
            <w:pPr>
              <w:jc w:val="right"/>
              <w:rPr>
                <w:rFonts w:ascii="Arial" w:eastAsia="Times New Roman" w:hAnsi="Arial" w:cs="Arial"/>
                <w:color w:val="000000"/>
                <w:sz w:val="20"/>
                <w:szCs w:val="20"/>
                <w:lang w:eastAsia="en-GB"/>
              </w:rPr>
            </w:pPr>
          </w:p>
        </w:tc>
        <w:tc>
          <w:tcPr>
            <w:tcW w:w="1465" w:type="dxa"/>
            <w:tcBorders>
              <w:left w:val="nil"/>
              <w:bottom w:val="single" w:sz="4" w:space="0" w:color="auto"/>
              <w:right w:val="nil"/>
            </w:tcBorders>
            <w:vAlign w:val="center"/>
          </w:tcPr>
          <w:p w14:paraId="2EAB3EFB" w14:textId="77777777" w:rsidR="00AB15E6" w:rsidRPr="0031229D" w:rsidRDefault="00AB15E6" w:rsidP="00AB15E6">
            <w:pPr>
              <w:jc w:val="right"/>
              <w:rPr>
                <w:rFonts w:ascii="Arial" w:eastAsia="Times New Roman" w:hAnsi="Arial" w:cs="Arial"/>
                <w:color w:val="000000"/>
                <w:sz w:val="20"/>
                <w:szCs w:val="20"/>
                <w:lang w:eastAsia="en-GB"/>
              </w:rPr>
            </w:pPr>
          </w:p>
        </w:tc>
      </w:tr>
      <w:tr w:rsidR="00AB15E6" w:rsidRPr="0099223F" w14:paraId="56D60DF7" w14:textId="77777777" w:rsidTr="00B82B88">
        <w:trPr>
          <w:trHeight w:val="288"/>
        </w:trPr>
        <w:tc>
          <w:tcPr>
            <w:tcW w:w="3969" w:type="dxa"/>
            <w:tcBorders>
              <w:top w:val="single" w:sz="4" w:space="0" w:color="auto"/>
              <w:left w:val="single" w:sz="4" w:space="0" w:color="auto"/>
              <w:bottom w:val="nil"/>
              <w:right w:val="nil"/>
            </w:tcBorders>
            <w:shd w:val="clear" w:color="auto" w:fill="auto"/>
            <w:noWrap/>
            <w:vAlign w:val="center"/>
          </w:tcPr>
          <w:p w14:paraId="4BEDB05F" w14:textId="51550CED" w:rsidR="00AB15E6" w:rsidRPr="00DD162A" w:rsidRDefault="00AB15E6" w:rsidP="00AB15E6">
            <w:pPr>
              <w:rPr>
                <w:rFonts w:ascii="Arial" w:eastAsia="Times New Roman" w:hAnsi="Arial" w:cs="Arial"/>
                <w:b/>
                <w:color w:val="000000"/>
                <w:sz w:val="20"/>
                <w:szCs w:val="20"/>
                <w:lang w:eastAsia="en-GB"/>
              </w:rPr>
            </w:pPr>
            <w:r w:rsidRPr="00DD162A">
              <w:rPr>
                <w:rFonts w:ascii="Arial" w:eastAsia="Times New Roman" w:hAnsi="Arial" w:cs="Arial"/>
                <w:b/>
                <w:color w:val="000000"/>
                <w:sz w:val="20"/>
                <w:szCs w:val="20"/>
                <w:lang w:eastAsia="en-GB"/>
              </w:rPr>
              <w:t>Adjusted EBITDA</w:t>
            </w:r>
          </w:p>
        </w:tc>
        <w:tc>
          <w:tcPr>
            <w:tcW w:w="709" w:type="dxa"/>
            <w:tcBorders>
              <w:top w:val="single" w:sz="4" w:space="0" w:color="auto"/>
              <w:left w:val="nil"/>
              <w:bottom w:val="nil"/>
              <w:right w:val="nil"/>
            </w:tcBorders>
            <w:shd w:val="clear" w:color="auto" w:fill="auto"/>
            <w:noWrap/>
          </w:tcPr>
          <w:p w14:paraId="789401DA" w14:textId="77777777" w:rsidR="00AB15E6" w:rsidRPr="00DD162A" w:rsidRDefault="00AB15E6" w:rsidP="00AB15E6">
            <w:pPr>
              <w:rPr>
                <w:rFonts w:ascii="Arial" w:eastAsia="Times New Roman" w:hAnsi="Arial" w:cs="Arial"/>
                <w:color w:val="000000"/>
                <w:sz w:val="20"/>
                <w:szCs w:val="20"/>
                <w:lang w:eastAsia="en-GB"/>
              </w:rPr>
            </w:pPr>
          </w:p>
        </w:tc>
        <w:tc>
          <w:tcPr>
            <w:tcW w:w="1464" w:type="dxa"/>
            <w:tcBorders>
              <w:top w:val="single" w:sz="4" w:space="0" w:color="auto"/>
              <w:left w:val="nil"/>
              <w:bottom w:val="nil"/>
              <w:right w:val="nil"/>
            </w:tcBorders>
            <w:shd w:val="clear" w:color="auto" w:fill="auto"/>
            <w:noWrap/>
            <w:vAlign w:val="center"/>
          </w:tcPr>
          <w:p w14:paraId="61180420" w14:textId="09916C0D" w:rsidR="00AB15E6" w:rsidRPr="00DD162A" w:rsidRDefault="009A3BF3" w:rsidP="00AB15E6">
            <w:pPr>
              <w:jc w:val="right"/>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36,693.7</w:t>
            </w:r>
          </w:p>
        </w:tc>
        <w:tc>
          <w:tcPr>
            <w:tcW w:w="1465" w:type="dxa"/>
            <w:tcBorders>
              <w:top w:val="single" w:sz="4" w:space="0" w:color="auto"/>
              <w:left w:val="nil"/>
              <w:bottom w:val="nil"/>
              <w:right w:val="nil"/>
            </w:tcBorders>
            <w:vAlign w:val="center"/>
          </w:tcPr>
          <w:p w14:paraId="71632A3F" w14:textId="19A0C9FF" w:rsidR="00AB15E6" w:rsidRPr="00DD162A" w:rsidRDefault="00AB15E6" w:rsidP="00AB15E6">
            <w:pPr>
              <w:jc w:val="right"/>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33,959.7</w:t>
            </w:r>
          </w:p>
        </w:tc>
        <w:tc>
          <w:tcPr>
            <w:tcW w:w="1465" w:type="dxa"/>
            <w:tcBorders>
              <w:top w:val="single" w:sz="4" w:space="0" w:color="auto"/>
              <w:left w:val="nil"/>
              <w:bottom w:val="nil"/>
              <w:right w:val="single" w:sz="4" w:space="0" w:color="auto"/>
            </w:tcBorders>
            <w:vAlign w:val="center"/>
          </w:tcPr>
          <w:p w14:paraId="04589EF0" w14:textId="39099FA0" w:rsidR="00AB15E6" w:rsidRPr="00AB15E6" w:rsidRDefault="00AB15E6" w:rsidP="00AB15E6">
            <w:pPr>
              <w:jc w:val="right"/>
              <w:rPr>
                <w:rFonts w:ascii="Arial" w:eastAsia="Times New Roman" w:hAnsi="Arial" w:cs="Arial"/>
                <w:b/>
                <w:bCs/>
                <w:color w:val="000000"/>
                <w:sz w:val="20"/>
                <w:szCs w:val="20"/>
                <w:lang w:eastAsia="en-GB"/>
              </w:rPr>
            </w:pPr>
            <w:r w:rsidRPr="00AB15E6">
              <w:rPr>
                <w:rFonts w:ascii="Arial" w:eastAsia="Times New Roman" w:hAnsi="Arial" w:cs="Arial"/>
                <w:b/>
                <w:bCs/>
                <w:color w:val="000000"/>
                <w:sz w:val="20"/>
                <w:szCs w:val="20"/>
                <w:lang w:eastAsia="en-GB"/>
              </w:rPr>
              <w:t>78,637.6</w:t>
            </w:r>
          </w:p>
        </w:tc>
      </w:tr>
      <w:tr w:rsidR="00AB15E6" w:rsidRPr="00DD162A" w14:paraId="68F82A7E" w14:textId="77777777" w:rsidTr="00B82B88">
        <w:trPr>
          <w:trHeight w:val="288"/>
        </w:trPr>
        <w:tc>
          <w:tcPr>
            <w:tcW w:w="3969" w:type="dxa"/>
            <w:tcBorders>
              <w:top w:val="nil"/>
              <w:left w:val="single" w:sz="4" w:space="0" w:color="auto"/>
              <w:bottom w:val="nil"/>
              <w:right w:val="nil"/>
            </w:tcBorders>
            <w:shd w:val="clear" w:color="auto" w:fill="auto"/>
            <w:noWrap/>
            <w:vAlign w:val="center"/>
          </w:tcPr>
          <w:p w14:paraId="6CE2A015" w14:textId="77777777" w:rsidR="00AB15E6" w:rsidRPr="00DD162A" w:rsidRDefault="00AB15E6" w:rsidP="00AB15E6">
            <w:pPr>
              <w:rPr>
                <w:rFonts w:ascii="Arial" w:eastAsia="Times New Roman" w:hAnsi="Arial" w:cs="Arial"/>
                <w:color w:val="000000"/>
                <w:sz w:val="20"/>
                <w:szCs w:val="20"/>
                <w:lang w:eastAsia="en-GB"/>
              </w:rPr>
            </w:pPr>
            <w:r w:rsidRPr="00DD162A">
              <w:rPr>
                <w:rFonts w:ascii="Arial" w:eastAsia="Times New Roman" w:hAnsi="Arial" w:cs="Arial"/>
                <w:color w:val="000000"/>
                <w:sz w:val="20"/>
                <w:szCs w:val="20"/>
                <w:lang w:eastAsia="en-GB"/>
              </w:rPr>
              <w:t>Depreciation</w:t>
            </w:r>
          </w:p>
        </w:tc>
        <w:tc>
          <w:tcPr>
            <w:tcW w:w="709" w:type="dxa"/>
            <w:tcBorders>
              <w:top w:val="nil"/>
              <w:left w:val="nil"/>
              <w:bottom w:val="nil"/>
              <w:right w:val="nil"/>
            </w:tcBorders>
            <w:shd w:val="clear" w:color="auto" w:fill="auto"/>
            <w:noWrap/>
          </w:tcPr>
          <w:p w14:paraId="4D244049" w14:textId="77777777" w:rsidR="00AB15E6" w:rsidRPr="00DD162A" w:rsidRDefault="00AB15E6" w:rsidP="00AB15E6">
            <w:pPr>
              <w:rPr>
                <w:rFonts w:ascii="Arial" w:eastAsia="Times New Roman" w:hAnsi="Arial" w:cs="Arial"/>
                <w:color w:val="000000"/>
                <w:sz w:val="20"/>
                <w:szCs w:val="20"/>
                <w:lang w:eastAsia="en-GB"/>
              </w:rPr>
            </w:pPr>
          </w:p>
        </w:tc>
        <w:tc>
          <w:tcPr>
            <w:tcW w:w="1464" w:type="dxa"/>
            <w:tcBorders>
              <w:top w:val="nil"/>
              <w:left w:val="nil"/>
              <w:bottom w:val="nil"/>
              <w:right w:val="nil"/>
            </w:tcBorders>
            <w:shd w:val="clear" w:color="auto" w:fill="auto"/>
            <w:noWrap/>
            <w:vAlign w:val="center"/>
          </w:tcPr>
          <w:p w14:paraId="02C317B3" w14:textId="4A85C037" w:rsidR="00AB15E6" w:rsidRPr="00DD162A" w:rsidRDefault="009A3BF3" w:rsidP="00AB15E6">
            <w:pPr>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(750.4)</w:t>
            </w:r>
          </w:p>
        </w:tc>
        <w:tc>
          <w:tcPr>
            <w:tcW w:w="1465" w:type="dxa"/>
            <w:tcBorders>
              <w:top w:val="nil"/>
              <w:left w:val="nil"/>
              <w:bottom w:val="nil"/>
              <w:right w:val="nil"/>
            </w:tcBorders>
            <w:vAlign w:val="center"/>
          </w:tcPr>
          <w:p w14:paraId="1170E614" w14:textId="4871F22F" w:rsidR="00AB15E6" w:rsidRPr="00DD162A" w:rsidRDefault="00AB15E6" w:rsidP="00AB15E6">
            <w:pPr>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(322.3)</w:t>
            </w:r>
          </w:p>
        </w:tc>
        <w:tc>
          <w:tcPr>
            <w:tcW w:w="1465" w:type="dxa"/>
            <w:tcBorders>
              <w:top w:val="nil"/>
              <w:left w:val="nil"/>
              <w:bottom w:val="nil"/>
              <w:right w:val="single" w:sz="4" w:space="0" w:color="auto"/>
            </w:tcBorders>
            <w:vAlign w:val="center"/>
          </w:tcPr>
          <w:p w14:paraId="33373BA6" w14:textId="413D9730" w:rsidR="00AB15E6" w:rsidRPr="0031229D" w:rsidRDefault="00AB15E6" w:rsidP="00AB15E6">
            <w:pPr>
              <w:jc w:val="right"/>
              <w:rPr>
                <w:rFonts w:ascii="Arial" w:eastAsia="Times New Roman" w:hAnsi="Arial" w:cs="Arial"/>
                <w:color w:val="000000"/>
                <w:sz w:val="20"/>
                <w:szCs w:val="20"/>
                <w:lang w:eastAsia="en-GB"/>
              </w:rPr>
            </w:pPr>
            <w:r w:rsidRPr="004F3092">
              <w:rPr>
                <w:rFonts w:ascii="Arial" w:eastAsia="Times New Roman" w:hAnsi="Arial" w:cs="Arial"/>
                <w:color w:val="000000"/>
                <w:sz w:val="20"/>
                <w:szCs w:val="20"/>
                <w:lang w:eastAsia="en-GB"/>
              </w:rPr>
              <w:t>(738.6)</w:t>
            </w:r>
          </w:p>
        </w:tc>
      </w:tr>
      <w:tr w:rsidR="00AB15E6" w:rsidRPr="00DD162A" w14:paraId="112B9FA4" w14:textId="77777777" w:rsidTr="00B82B88">
        <w:trPr>
          <w:trHeight w:val="288"/>
        </w:trPr>
        <w:tc>
          <w:tcPr>
            <w:tcW w:w="3969" w:type="dxa"/>
            <w:tcBorders>
              <w:top w:val="nil"/>
              <w:left w:val="single" w:sz="4" w:space="0" w:color="auto"/>
              <w:bottom w:val="nil"/>
              <w:right w:val="nil"/>
            </w:tcBorders>
            <w:shd w:val="clear" w:color="auto" w:fill="auto"/>
            <w:noWrap/>
            <w:vAlign w:val="center"/>
          </w:tcPr>
          <w:p w14:paraId="1382FFCA" w14:textId="77777777" w:rsidR="00AB15E6" w:rsidRPr="00DD162A" w:rsidRDefault="00AB15E6" w:rsidP="00AB15E6">
            <w:pPr>
              <w:rPr>
                <w:rFonts w:ascii="Arial" w:eastAsia="Times New Roman" w:hAnsi="Arial" w:cs="Arial"/>
                <w:color w:val="000000"/>
                <w:sz w:val="20"/>
                <w:szCs w:val="20"/>
                <w:lang w:eastAsia="en-GB"/>
              </w:rPr>
            </w:pPr>
            <w:r w:rsidRPr="00DD162A">
              <w:rPr>
                <w:rFonts w:ascii="Arial" w:eastAsia="Times New Roman" w:hAnsi="Arial" w:cs="Arial"/>
                <w:color w:val="000000"/>
                <w:sz w:val="20"/>
                <w:szCs w:val="20"/>
                <w:lang w:eastAsia="en-GB"/>
              </w:rPr>
              <w:t>Amortisation</w:t>
            </w:r>
          </w:p>
        </w:tc>
        <w:tc>
          <w:tcPr>
            <w:tcW w:w="709" w:type="dxa"/>
            <w:tcBorders>
              <w:top w:val="nil"/>
              <w:left w:val="nil"/>
              <w:bottom w:val="nil"/>
              <w:right w:val="nil"/>
            </w:tcBorders>
            <w:shd w:val="clear" w:color="auto" w:fill="auto"/>
            <w:noWrap/>
          </w:tcPr>
          <w:p w14:paraId="239B9DF5" w14:textId="77777777" w:rsidR="00AB15E6" w:rsidRPr="00DD162A" w:rsidRDefault="00AB15E6" w:rsidP="00AB15E6">
            <w:pPr>
              <w:rPr>
                <w:rFonts w:ascii="Arial" w:eastAsia="Times New Roman" w:hAnsi="Arial" w:cs="Arial"/>
                <w:color w:val="000000"/>
                <w:sz w:val="20"/>
                <w:szCs w:val="20"/>
                <w:lang w:eastAsia="en-GB"/>
              </w:rPr>
            </w:pPr>
          </w:p>
        </w:tc>
        <w:tc>
          <w:tcPr>
            <w:tcW w:w="1464" w:type="dxa"/>
            <w:tcBorders>
              <w:top w:val="nil"/>
              <w:left w:val="nil"/>
              <w:bottom w:val="nil"/>
              <w:right w:val="nil"/>
            </w:tcBorders>
            <w:shd w:val="clear" w:color="auto" w:fill="auto"/>
            <w:noWrap/>
            <w:vAlign w:val="center"/>
          </w:tcPr>
          <w:p w14:paraId="240794FA" w14:textId="153B97B7" w:rsidR="00AB15E6" w:rsidRPr="00DD162A" w:rsidRDefault="009A3BF3" w:rsidP="00AB15E6">
            <w:pPr>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(360.0)</w:t>
            </w:r>
          </w:p>
        </w:tc>
        <w:tc>
          <w:tcPr>
            <w:tcW w:w="1465" w:type="dxa"/>
            <w:tcBorders>
              <w:top w:val="nil"/>
              <w:left w:val="nil"/>
              <w:bottom w:val="nil"/>
              <w:right w:val="nil"/>
            </w:tcBorders>
            <w:vAlign w:val="center"/>
          </w:tcPr>
          <w:p w14:paraId="51EAED8C" w14:textId="5664D7E7" w:rsidR="00AB15E6" w:rsidRPr="00DD162A" w:rsidRDefault="00AB15E6" w:rsidP="00AB15E6">
            <w:pPr>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(360.0)</w:t>
            </w:r>
          </w:p>
        </w:tc>
        <w:tc>
          <w:tcPr>
            <w:tcW w:w="1465" w:type="dxa"/>
            <w:tcBorders>
              <w:top w:val="nil"/>
              <w:left w:val="nil"/>
              <w:bottom w:val="nil"/>
              <w:right w:val="single" w:sz="4" w:space="0" w:color="auto"/>
            </w:tcBorders>
            <w:vAlign w:val="center"/>
          </w:tcPr>
          <w:p w14:paraId="3CA7EC93" w14:textId="72DDF303" w:rsidR="00AB15E6" w:rsidRPr="0031229D" w:rsidRDefault="00AB15E6" w:rsidP="00AB15E6">
            <w:pPr>
              <w:jc w:val="right"/>
              <w:rPr>
                <w:rFonts w:ascii="Arial" w:eastAsia="Times New Roman" w:hAnsi="Arial" w:cs="Arial"/>
                <w:color w:val="000000"/>
                <w:sz w:val="20"/>
                <w:szCs w:val="20"/>
                <w:lang w:eastAsia="en-GB"/>
              </w:rPr>
            </w:pPr>
            <w:r w:rsidRPr="004F3092">
              <w:rPr>
                <w:rFonts w:ascii="Arial" w:eastAsia="Times New Roman" w:hAnsi="Arial" w:cs="Arial"/>
                <w:color w:val="000000"/>
                <w:sz w:val="20"/>
                <w:szCs w:val="20"/>
                <w:lang w:eastAsia="en-GB"/>
              </w:rPr>
              <w:t>(720.0)</w:t>
            </w:r>
          </w:p>
        </w:tc>
      </w:tr>
      <w:tr w:rsidR="00AB15E6" w:rsidRPr="00DD162A" w14:paraId="44A5C83E" w14:textId="77777777" w:rsidTr="00B82B88">
        <w:trPr>
          <w:trHeight w:val="288"/>
        </w:trPr>
        <w:tc>
          <w:tcPr>
            <w:tcW w:w="3969" w:type="dxa"/>
            <w:tcBorders>
              <w:top w:val="nil"/>
              <w:left w:val="single" w:sz="4" w:space="0" w:color="auto"/>
              <w:bottom w:val="single" w:sz="4" w:space="0" w:color="auto"/>
              <w:right w:val="nil"/>
            </w:tcBorders>
            <w:shd w:val="clear" w:color="auto" w:fill="auto"/>
            <w:noWrap/>
            <w:vAlign w:val="center"/>
          </w:tcPr>
          <w:p w14:paraId="5198210E" w14:textId="77777777" w:rsidR="00AB15E6" w:rsidRPr="00DD162A" w:rsidRDefault="00AB15E6" w:rsidP="00AB15E6">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Share based payment charges</w:t>
            </w:r>
          </w:p>
        </w:tc>
        <w:tc>
          <w:tcPr>
            <w:tcW w:w="709" w:type="dxa"/>
            <w:tcBorders>
              <w:top w:val="nil"/>
              <w:left w:val="nil"/>
              <w:bottom w:val="single" w:sz="4" w:space="0" w:color="auto"/>
              <w:right w:val="nil"/>
            </w:tcBorders>
            <w:shd w:val="clear" w:color="auto" w:fill="auto"/>
            <w:noWrap/>
          </w:tcPr>
          <w:p w14:paraId="5439050E" w14:textId="77777777" w:rsidR="00AB15E6" w:rsidRPr="00DD162A" w:rsidRDefault="00AB15E6" w:rsidP="00AB15E6">
            <w:pPr>
              <w:rPr>
                <w:rFonts w:ascii="Arial" w:eastAsia="Times New Roman" w:hAnsi="Arial" w:cs="Arial"/>
                <w:color w:val="000000"/>
                <w:sz w:val="20"/>
                <w:szCs w:val="20"/>
                <w:lang w:eastAsia="en-GB"/>
              </w:rPr>
            </w:pPr>
          </w:p>
        </w:tc>
        <w:tc>
          <w:tcPr>
            <w:tcW w:w="1464" w:type="dxa"/>
            <w:tcBorders>
              <w:top w:val="nil"/>
              <w:left w:val="nil"/>
              <w:bottom w:val="single" w:sz="4" w:space="0" w:color="auto"/>
              <w:right w:val="nil"/>
            </w:tcBorders>
            <w:shd w:val="clear" w:color="auto" w:fill="auto"/>
            <w:noWrap/>
            <w:vAlign w:val="center"/>
          </w:tcPr>
          <w:p w14:paraId="2A83C44D" w14:textId="5E1CDCF6" w:rsidR="00AB15E6" w:rsidRPr="00DD162A" w:rsidRDefault="009A3BF3" w:rsidP="00AB15E6">
            <w:pPr>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(827.7)</w:t>
            </w:r>
          </w:p>
        </w:tc>
        <w:tc>
          <w:tcPr>
            <w:tcW w:w="1465" w:type="dxa"/>
            <w:tcBorders>
              <w:top w:val="nil"/>
              <w:left w:val="nil"/>
              <w:bottom w:val="single" w:sz="4" w:space="0" w:color="auto"/>
              <w:right w:val="nil"/>
            </w:tcBorders>
            <w:vAlign w:val="center"/>
          </w:tcPr>
          <w:p w14:paraId="1C0E8C20" w14:textId="75BBA928" w:rsidR="00AB15E6" w:rsidRPr="00DD162A" w:rsidRDefault="00AB15E6" w:rsidP="00AB15E6">
            <w:pPr>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(683.4)</w:t>
            </w:r>
          </w:p>
        </w:tc>
        <w:tc>
          <w:tcPr>
            <w:tcW w:w="1465" w:type="dxa"/>
            <w:tcBorders>
              <w:top w:val="nil"/>
              <w:left w:val="nil"/>
              <w:bottom w:val="single" w:sz="4" w:space="0" w:color="auto"/>
              <w:right w:val="single" w:sz="4" w:space="0" w:color="auto"/>
            </w:tcBorders>
            <w:vAlign w:val="center"/>
          </w:tcPr>
          <w:p w14:paraId="75226C68" w14:textId="47C0AD7B" w:rsidR="00AB15E6" w:rsidRPr="0031229D" w:rsidRDefault="00AB15E6" w:rsidP="00AB15E6">
            <w:pPr>
              <w:jc w:val="right"/>
              <w:rPr>
                <w:rFonts w:ascii="Arial" w:eastAsia="Times New Roman" w:hAnsi="Arial" w:cs="Arial"/>
                <w:color w:val="000000"/>
                <w:sz w:val="20"/>
                <w:szCs w:val="20"/>
                <w:lang w:eastAsia="en-GB"/>
              </w:rPr>
            </w:pPr>
            <w:r w:rsidRPr="004F3092">
              <w:rPr>
                <w:rFonts w:ascii="Arial" w:eastAsia="Times New Roman" w:hAnsi="Arial" w:cs="Arial"/>
                <w:color w:val="000000"/>
                <w:sz w:val="20"/>
                <w:szCs w:val="20"/>
                <w:lang w:eastAsia="en-GB"/>
              </w:rPr>
              <w:t>(1,821.8)</w:t>
            </w:r>
          </w:p>
        </w:tc>
      </w:tr>
      <w:tr w:rsidR="00AB15E6" w:rsidRPr="00DD162A" w14:paraId="4A69F8AF" w14:textId="77777777" w:rsidTr="00B82B88">
        <w:trPr>
          <w:trHeight w:val="288"/>
        </w:trPr>
        <w:tc>
          <w:tcPr>
            <w:tcW w:w="3969" w:type="dxa"/>
            <w:tcBorders>
              <w:top w:val="single" w:sz="4" w:space="0" w:color="auto"/>
              <w:left w:val="nil"/>
              <w:bottom w:val="nil"/>
              <w:right w:val="nil"/>
            </w:tcBorders>
            <w:shd w:val="clear" w:color="auto" w:fill="auto"/>
            <w:noWrap/>
            <w:vAlign w:val="center"/>
            <w:hideMark/>
          </w:tcPr>
          <w:p w14:paraId="26FFD31C" w14:textId="77777777" w:rsidR="00AB15E6" w:rsidRPr="00DD162A" w:rsidRDefault="00AB15E6" w:rsidP="00AB15E6">
            <w:pPr>
              <w:jc w:val="right"/>
              <w:rPr>
                <w:rFonts w:ascii="Arial" w:eastAsia="Times New Roman" w:hAnsi="Arial" w:cs="Arial"/>
                <w:color w:val="000000"/>
                <w:sz w:val="20"/>
                <w:szCs w:val="20"/>
                <w:lang w:eastAsia="en-GB"/>
              </w:rPr>
            </w:pPr>
          </w:p>
        </w:tc>
        <w:tc>
          <w:tcPr>
            <w:tcW w:w="709" w:type="dxa"/>
            <w:tcBorders>
              <w:top w:val="single" w:sz="4" w:space="0" w:color="auto"/>
              <w:left w:val="nil"/>
              <w:right w:val="nil"/>
            </w:tcBorders>
            <w:shd w:val="clear" w:color="auto" w:fill="auto"/>
            <w:noWrap/>
            <w:vAlign w:val="center"/>
            <w:hideMark/>
          </w:tcPr>
          <w:p w14:paraId="3F5291D1" w14:textId="77777777" w:rsidR="00AB15E6" w:rsidRPr="00DD162A" w:rsidRDefault="00AB15E6" w:rsidP="00AB15E6">
            <w:pPr>
              <w:rPr>
                <w:rFonts w:ascii="Arial" w:eastAsia="Times New Roman" w:hAnsi="Arial" w:cs="Arial"/>
                <w:sz w:val="20"/>
                <w:szCs w:val="20"/>
                <w:lang w:eastAsia="en-GB"/>
              </w:rPr>
            </w:pPr>
          </w:p>
        </w:tc>
        <w:tc>
          <w:tcPr>
            <w:tcW w:w="1464" w:type="dxa"/>
            <w:tcBorders>
              <w:top w:val="single" w:sz="4" w:space="0" w:color="auto"/>
              <w:left w:val="nil"/>
              <w:right w:val="nil"/>
            </w:tcBorders>
            <w:shd w:val="clear" w:color="auto" w:fill="auto"/>
            <w:noWrap/>
            <w:vAlign w:val="center"/>
          </w:tcPr>
          <w:p w14:paraId="5DB0E50D" w14:textId="77777777" w:rsidR="00AB15E6" w:rsidRPr="00DD162A" w:rsidRDefault="00AB15E6" w:rsidP="00AB15E6">
            <w:pPr>
              <w:jc w:val="right"/>
              <w:rPr>
                <w:rFonts w:ascii="Arial" w:eastAsia="Times New Roman" w:hAnsi="Arial" w:cs="Arial"/>
                <w:color w:val="000000"/>
                <w:sz w:val="20"/>
                <w:szCs w:val="20"/>
                <w:lang w:eastAsia="en-GB"/>
              </w:rPr>
            </w:pPr>
          </w:p>
        </w:tc>
        <w:tc>
          <w:tcPr>
            <w:tcW w:w="1465" w:type="dxa"/>
            <w:tcBorders>
              <w:top w:val="single" w:sz="4" w:space="0" w:color="auto"/>
              <w:left w:val="nil"/>
              <w:right w:val="nil"/>
            </w:tcBorders>
            <w:vAlign w:val="center"/>
          </w:tcPr>
          <w:p w14:paraId="665013AA" w14:textId="77777777" w:rsidR="00AB15E6" w:rsidRPr="00DD162A" w:rsidRDefault="00AB15E6" w:rsidP="00AB15E6">
            <w:pPr>
              <w:jc w:val="right"/>
              <w:rPr>
                <w:rFonts w:ascii="Arial" w:eastAsia="Times New Roman" w:hAnsi="Arial" w:cs="Arial"/>
                <w:color w:val="000000"/>
                <w:sz w:val="20"/>
                <w:szCs w:val="20"/>
                <w:lang w:eastAsia="en-GB"/>
              </w:rPr>
            </w:pPr>
          </w:p>
        </w:tc>
        <w:tc>
          <w:tcPr>
            <w:tcW w:w="1465" w:type="dxa"/>
            <w:tcBorders>
              <w:top w:val="single" w:sz="4" w:space="0" w:color="auto"/>
              <w:left w:val="nil"/>
              <w:right w:val="nil"/>
            </w:tcBorders>
            <w:vAlign w:val="center"/>
          </w:tcPr>
          <w:p w14:paraId="290F48D6" w14:textId="14EA2B5F" w:rsidR="00AB15E6" w:rsidRPr="0031229D" w:rsidRDefault="00AB15E6" w:rsidP="00AB15E6">
            <w:pPr>
              <w:jc w:val="right"/>
              <w:rPr>
                <w:rFonts w:ascii="Arial" w:eastAsia="Times New Roman" w:hAnsi="Arial" w:cs="Arial"/>
                <w:color w:val="000000"/>
                <w:sz w:val="20"/>
                <w:szCs w:val="20"/>
                <w:lang w:eastAsia="en-GB"/>
              </w:rPr>
            </w:pPr>
          </w:p>
        </w:tc>
      </w:tr>
      <w:tr w:rsidR="00524910" w:rsidRPr="0099223F" w14:paraId="5CADF43C" w14:textId="77777777" w:rsidTr="00B82B88">
        <w:trPr>
          <w:trHeight w:val="288"/>
        </w:trPr>
        <w:tc>
          <w:tcPr>
            <w:tcW w:w="3969" w:type="dxa"/>
            <w:tcBorders>
              <w:top w:val="nil"/>
              <w:left w:val="nil"/>
              <w:bottom w:val="nil"/>
              <w:right w:val="nil"/>
            </w:tcBorders>
            <w:shd w:val="clear" w:color="auto" w:fill="auto"/>
            <w:noWrap/>
            <w:vAlign w:val="center"/>
            <w:hideMark/>
          </w:tcPr>
          <w:p w14:paraId="5E761B3A" w14:textId="77777777" w:rsidR="00524910" w:rsidRPr="00DD162A" w:rsidRDefault="00524910" w:rsidP="00524910">
            <w:pPr>
              <w:rPr>
                <w:rFonts w:ascii="Arial" w:eastAsia="Times New Roman" w:hAnsi="Arial" w:cs="Arial"/>
                <w:b/>
                <w:bCs/>
                <w:color w:val="000000"/>
                <w:sz w:val="20"/>
                <w:szCs w:val="20"/>
                <w:lang w:eastAsia="en-GB"/>
              </w:rPr>
            </w:pPr>
            <w:r w:rsidRPr="00DD162A">
              <w:rPr>
                <w:rFonts w:ascii="Arial" w:eastAsia="Times New Roman" w:hAnsi="Arial" w:cs="Arial"/>
                <w:b/>
                <w:bCs/>
                <w:color w:val="000000"/>
                <w:sz w:val="20"/>
                <w:szCs w:val="20"/>
                <w:lang w:eastAsia="en-GB"/>
              </w:rPr>
              <w:t>Operating profit</w:t>
            </w:r>
          </w:p>
        </w:tc>
        <w:tc>
          <w:tcPr>
            <w:tcW w:w="709" w:type="dxa"/>
            <w:tcBorders>
              <w:top w:val="nil"/>
              <w:left w:val="nil"/>
              <w:bottom w:val="nil"/>
              <w:right w:val="nil"/>
            </w:tcBorders>
            <w:shd w:val="clear" w:color="auto" w:fill="auto"/>
            <w:noWrap/>
            <w:vAlign w:val="center"/>
          </w:tcPr>
          <w:p w14:paraId="73FF6F1C" w14:textId="77777777" w:rsidR="00524910" w:rsidRPr="00DD162A" w:rsidRDefault="00524910" w:rsidP="00524910">
            <w:pPr>
              <w:jc w:val="right"/>
              <w:rPr>
                <w:rFonts w:ascii="Arial" w:eastAsia="Times New Roman" w:hAnsi="Arial" w:cs="Arial"/>
                <w:color w:val="000000"/>
                <w:sz w:val="20"/>
                <w:szCs w:val="20"/>
                <w:lang w:eastAsia="en-GB"/>
              </w:rPr>
            </w:pPr>
          </w:p>
        </w:tc>
        <w:tc>
          <w:tcPr>
            <w:tcW w:w="1464" w:type="dxa"/>
            <w:tcBorders>
              <w:top w:val="nil"/>
              <w:left w:val="nil"/>
              <w:bottom w:val="nil"/>
              <w:right w:val="nil"/>
            </w:tcBorders>
            <w:shd w:val="clear" w:color="auto" w:fill="auto"/>
            <w:vAlign w:val="center"/>
          </w:tcPr>
          <w:p w14:paraId="29568CB8" w14:textId="7466965E" w:rsidR="00524910" w:rsidRPr="00DD162A" w:rsidRDefault="009A3BF3" w:rsidP="00524910">
            <w:pPr>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34,755.6</w:t>
            </w:r>
          </w:p>
        </w:tc>
        <w:tc>
          <w:tcPr>
            <w:tcW w:w="1465" w:type="dxa"/>
            <w:tcBorders>
              <w:top w:val="nil"/>
              <w:left w:val="nil"/>
              <w:bottom w:val="nil"/>
              <w:right w:val="nil"/>
            </w:tcBorders>
            <w:vAlign w:val="center"/>
          </w:tcPr>
          <w:p w14:paraId="786138F2" w14:textId="3B55677B" w:rsidR="00524910" w:rsidRPr="00DD162A" w:rsidRDefault="00524910" w:rsidP="00524910">
            <w:pPr>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32,594.0</w:t>
            </w:r>
          </w:p>
        </w:tc>
        <w:tc>
          <w:tcPr>
            <w:tcW w:w="1465" w:type="dxa"/>
            <w:tcBorders>
              <w:top w:val="nil"/>
              <w:left w:val="nil"/>
              <w:bottom w:val="nil"/>
              <w:right w:val="nil"/>
            </w:tcBorders>
            <w:vAlign w:val="center"/>
          </w:tcPr>
          <w:p w14:paraId="44D28E68" w14:textId="6D92ED0F" w:rsidR="00524910" w:rsidRPr="00524910" w:rsidRDefault="00524910" w:rsidP="00524910">
            <w:pPr>
              <w:jc w:val="right"/>
              <w:rPr>
                <w:rFonts w:ascii="Arial" w:eastAsia="Times New Roman" w:hAnsi="Arial" w:cs="Arial"/>
                <w:b/>
                <w:color w:val="000000"/>
                <w:sz w:val="20"/>
                <w:szCs w:val="20"/>
                <w:lang w:eastAsia="en-GB"/>
              </w:rPr>
            </w:pPr>
            <w:r w:rsidRPr="00524910">
              <w:rPr>
                <w:rFonts w:ascii="Arial" w:eastAsia="Times New Roman" w:hAnsi="Arial" w:cs="Arial"/>
                <w:b/>
                <w:color w:val="000000"/>
                <w:sz w:val="20"/>
                <w:szCs w:val="20"/>
                <w:lang w:eastAsia="en-GB"/>
              </w:rPr>
              <w:t>75,357.2</w:t>
            </w:r>
          </w:p>
        </w:tc>
      </w:tr>
      <w:tr w:rsidR="00524910" w:rsidRPr="00DD162A" w14:paraId="322FA0F1" w14:textId="77777777" w:rsidTr="00B82B88">
        <w:trPr>
          <w:trHeight w:val="288"/>
        </w:trPr>
        <w:tc>
          <w:tcPr>
            <w:tcW w:w="3969" w:type="dxa"/>
            <w:tcBorders>
              <w:top w:val="nil"/>
              <w:left w:val="nil"/>
              <w:bottom w:val="nil"/>
              <w:right w:val="nil"/>
            </w:tcBorders>
            <w:shd w:val="clear" w:color="auto" w:fill="auto"/>
            <w:noWrap/>
            <w:hideMark/>
          </w:tcPr>
          <w:p w14:paraId="187F9471" w14:textId="77777777" w:rsidR="00524910" w:rsidRPr="00DD162A" w:rsidRDefault="00524910" w:rsidP="00524910">
            <w:pPr>
              <w:jc w:val="right"/>
              <w:rPr>
                <w:rFonts w:ascii="Arial" w:eastAsia="Times New Roman" w:hAnsi="Arial" w:cs="Arial"/>
                <w:b/>
                <w:bCs/>
                <w:color w:val="000000"/>
                <w:sz w:val="20"/>
                <w:szCs w:val="20"/>
                <w:lang w:eastAsia="en-GB"/>
              </w:rPr>
            </w:pPr>
          </w:p>
        </w:tc>
        <w:tc>
          <w:tcPr>
            <w:tcW w:w="709" w:type="dxa"/>
            <w:tcBorders>
              <w:top w:val="nil"/>
              <w:left w:val="nil"/>
              <w:bottom w:val="nil"/>
              <w:right w:val="nil"/>
            </w:tcBorders>
            <w:shd w:val="clear" w:color="auto" w:fill="auto"/>
            <w:noWrap/>
          </w:tcPr>
          <w:p w14:paraId="716E6314" w14:textId="77777777" w:rsidR="00524910" w:rsidRPr="00DD162A" w:rsidRDefault="00524910" w:rsidP="00524910">
            <w:pPr>
              <w:rPr>
                <w:rFonts w:ascii="Arial" w:eastAsia="Times New Roman" w:hAnsi="Arial" w:cs="Arial"/>
                <w:sz w:val="20"/>
                <w:szCs w:val="20"/>
                <w:lang w:eastAsia="en-GB"/>
              </w:rPr>
            </w:pPr>
          </w:p>
        </w:tc>
        <w:tc>
          <w:tcPr>
            <w:tcW w:w="1464" w:type="dxa"/>
            <w:tcBorders>
              <w:top w:val="nil"/>
              <w:left w:val="nil"/>
              <w:bottom w:val="nil"/>
              <w:right w:val="nil"/>
            </w:tcBorders>
            <w:shd w:val="clear" w:color="auto" w:fill="auto"/>
            <w:noWrap/>
          </w:tcPr>
          <w:p w14:paraId="32DBE0AA" w14:textId="77777777" w:rsidR="00524910" w:rsidRPr="00DD162A" w:rsidRDefault="00524910" w:rsidP="00524910">
            <w:pPr>
              <w:rPr>
                <w:rFonts w:ascii="Arial" w:eastAsia="Times New Roman" w:hAnsi="Arial" w:cs="Arial"/>
                <w:sz w:val="20"/>
                <w:szCs w:val="20"/>
                <w:lang w:eastAsia="en-GB"/>
              </w:rPr>
            </w:pPr>
          </w:p>
        </w:tc>
        <w:tc>
          <w:tcPr>
            <w:tcW w:w="1465" w:type="dxa"/>
            <w:tcBorders>
              <w:top w:val="nil"/>
              <w:left w:val="nil"/>
              <w:bottom w:val="nil"/>
              <w:right w:val="nil"/>
            </w:tcBorders>
          </w:tcPr>
          <w:p w14:paraId="3846B0E6" w14:textId="77777777" w:rsidR="00524910" w:rsidRPr="00DD162A" w:rsidRDefault="00524910" w:rsidP="00524910">
            <w:pPr>
              <w:rPr>
                <w:rFonts w:ascii="Arial" w:eastAsia="Times New Roman" w:hAnsi="Arial" w:cs="Arial"/>
                <w:sz w:val="20"/>
                <w:szCs w:val="20"/>
                <w:lang w:eastAsia="en-GB"/>
              </w:rPr>
            </w:pPr>
          </w:p>
        </w:tc>
        <w:tc>
          <w:tcPr>
            <w:tcW w:w="1465" w:type="dxa"/>
            <w:tcBorders>
              <w:top w:val="nil"/>
              <w:left w:val="nil"/>
              <w:bottom w:val="nil"/>
              <w:right w:val="nil"/>
            </w:tcBorders>
          </w:tcPr>
          <w:p w14:paraId="0AFD4AEA" w14:textId="77777777" w:rsidR="00524910" w:rsidRPr="0031229D" w:rsidRDefault="00524910" w:rsidP="00524910">
            <w:pPr>
              <w:jc w:val="right"/>
              <w:rPr>
                <w:rFonts w:ascii="Arial" w:eastAsia="Times New Roman" w:hAnsi="Arial" w:cs="Arial"/>
                <w:color w:val="000000"/>
                <w:sz w:val="20"/>
                <w:szCs w:val="20"/>
                <w:lang w:eastAsia="en-GB"/>
              </w:rPr>
            </w:pPr>
          </w:p>
        </w:tc>
      </w:tr>
      <w:tr w:rsidR="00524910" w:rsidRPr="00DD162A" w14:paraId="042B7EEE" w14:textId="77777777" w:rsidTr="00B82B88">
        <w:trPr>
          <w:trHeight w:val="288"/>
        </w:trPr>
        <w:tc>
          <w:tcPr>
            <w:tcW w:w="3969" w:type="dxa"/>
            <w:tcBorders>
              <w:top w:val="nil"/>
              <w:left w:val="nil"/>
              <w:bottom w:val="nil"/>
              <w:right w:val="nil"/>
            </w:tcBorders>
            <w:shd w:val="clear" w:color="auto" w:fill="auto"/>
            <w:noWrap/>
            <w:vAlign w:val="center"/>
          </w:tcPr>
          <w:p w14:paraId="683DFE49" w14:textId="77777777" w:rsidR="00524910" w:rsidRPr="00DD162A" w:rsidRDefault="00524910" w:rsidP="00524910">
            <w:pPr>
              <w:rPr>
                <w:rFonts w:ascii="Arial" w:eastAsia="Times New Roman" w:hAnsi="Arial" w:cs="Arial"/>
                <w:b/>
                <w:color w:val="000000"/>
                <w:sz w:val="20"/>
                <w:szCs w:val="20"/>
                <w:lang w:eastAsia="en-GB"/>
              </w:rPr>
            </w:pPr>
            <w:r w:rsidRPr="00DD162A">
              <w:rPr>
                <w:rFonts w:ascii="Arial" w:eastAsia="Times New Roman" w:hAnsi="Arial" w:cs="Arial"/>
                <w:b/>
                <w:color w:val="000000"/>
                <w:sz w:val="20"/>
                <w:szCs w:val="20"/>
                <w:lang w:eastAsia="en-GB"/>
              </w:rPr>
              <w:t>Finance costs</w:t>
            </w:r>
          </w:p>
        </w:tc>
        <w:tc>
          <w:tcPr>
            <w:tcW w:w="709" w:type="dxa"/>
            <w:tcBorders>
              <w:top w:val="nil"/>
              <w:left w:val="nil"/>
              <w:bottom w:val="nil"/>
              <w:right w:val="nil"/>
            </w:tcBorders>
            <w:shd w:val="clear" w:color="auto" w:fill="auto"/>
            <w:noWrap/>
            <w:vAlign w:val="center"/>
          </w:tcPr>
          <w:p w14:paraId="2D513453" w14:textId="77777777" w:rsidR="00524910" w:rsidRPr="00DD162A" w:rsidRDefault="00524910" w:rsidP="00524910">
            <w:pPr>
              <w:jc w:val="right"/>
              <w:rPr>
                <w:rFonts w:ascii="Arial" w:eastAsia="Times New Roman" w:hAnsi="Arial" w:cs="Arial"/>
                <w:b/>
                <w:color w:val="000000"/>
                <w:sz w:val="20"/>
                <w:szCs w:val="20"/>
                <w:lang w:eastAsia="en-GB"/>
              </w:rPr>
            </w:pPr>
          </w:p>
        </w:tc>
        <w:tc>
          <w:tcPr>
            <w:tcW w:w="1464" w:type="dxa"/>
            <w:tcBorders>
              <w:top w:val="nil"/>
              <w:left w:val="nil"/>
              <w:bottom w:val="nil"/>
              <w:right w:val="nil"/>
            </w:tcBorders>
            <w:shd w:val="clear" w:color="auto" w:fill="auto"/>
            <w:noWrap/>
            <w:vAlign w:val="center"/>
          </w:tcPr>
          <w:p w14:paraId="1F512D05" w14:textId="77777777" w:rsidR="00524910" w:rsidRPr="00DD162A" w:rsidRDefault="00524910" w:rsidP="00524910">
            <w:pPr>
              <w:jc w:val="right"/>
              <w:rPr>
                <w:rFonts w:ascii="Arial" w:eastAsia="Times New Roman" w:hAnsi="Arial" w:cs="Arial"/>
                <w:b/>
                <w:color w:val="000000"/>
                <w:sz w:val="20"/>
                <w:szCs w:val="20"/>
                <w:lang w:eastAsia="en-GB"/>
              </w:rPr>
            </w:pPr>
          </w:p>
        </w:tc>
        <w:tc>
          <w:tcPr>
            <w:tcW w:w="1465" w:type="dxa"/>
            <w:tcBorders>
              <w:top w:val="nil"/>
              <w:left w:val="nil"/>
              <w:bottom w:val="nil"/>
              <w:right w:val="nil"/>
            </w:tcBorders>
            <w:vAlign w:val="center"/>
          </w:tcPr>
          <w:p w14:paraId="0838DCA1" w14:textId="77777777" w:rsidR="00524910" w:rsidRPr="00884104" w:rsidRDefault="00524910" w:rsidP="00524910">
            <w:pPr>
              <w:jc w:val="right"/>
              <w:rPr>
                <w:rFonts w:ascii="Arial" w:eastAsia="Times New Roman" w:hAnsi="Arial" w:cs="Arial"/>
                <w:b/>
                <w:color w:val="000000"/>
                <w:sz w:val="20"/>
                <w:szCs w:val="20"/>
                <w:lang w:eastAsia="en-GB"/>
              </w:rPr>
            </w:pPr>
          </w:p>
        </w:tc>
        <w:tc>
          <w:tcPr>
            <w:tcW w:w="1465" w:type="dxa"/>
            <w:tcBorders>
              <w:top w:val="nil"/>
              <w:left w:val="nil"/>
              <w:bottom w:val="nil"/>
              <w:right w:val="nil"/>
            </w:tcBorders>
            <w:vAlign w:val="center"/>
          </w:tcPr>
          <w:p w14:paraId="0874CEBB" w14:textId="77777777" w:rsidR="00524910" w:rsidRPr="0031229D" w:rsidRDefault="00524910" w:rsidP="00524910">
            <w:pPr>
              <w:jc w:val="right"/>
              <w:rPr>
                <w:rFonts w:ascii="Arial" w:eastAsia="Times New Roman" w:hAnsi="Arial" w:cs="Arial"/>
                <w:color w:val="000000"/>
                <w:sz w:val="20"/>
                <w:szCs w:val="20"/>
                <w:lang w:eastAsia="en-GB"/>
              </w:rPr>
            </w:pPr>
          </w:p>
        </w:tc>
      </w:tr>
      <w:tr w:rsidR="00524910" w:rsidRPr="00DD162A" w14:paraId="60513784" w14:textId="77777777" w:rsidTr="00B82B88">
        <w:trPr>
          <w:trHeight w:val="288"/>
        </w:trPr>
        <w:tc>
          <w:tcPr>
            <w:tcW w:w="3969" w:type="dxa"/>
            <w:tcBorders>
              <w:top w:val="nil"/>
              <w:left w:val="nil"/>
              <w:bottom w:val="nil"/>
              <w:right w:val="nil"/>
            </w:tcBorders>
            <w:shd w:val="clear" w:color="auto" w:fill="auto"/>
            <w:noWrap/>
            <w:vAlign w:val="center"/>
            <w:hideMark/>
          </w:tcPr>
          <w:p w14:paraId="13B11D45" w14:textId="77777777" w:rsidR="00524910" w:rsidRPr="00DD162A" w:rsidRDefault="00524910" w:rsidP="00524910">
            <w:pPr>
              <w:rPr>
                <w:rFonts w:ascii="Arial" w:eastAsia="Times New Roman" w:hAnsi="Arial" w:cs="Arial"/>
                <w:color w:val="000000"/>
                <w:sz w:val="20"/>
                <w:szCs w:val="20"/>
                <w:lang w:eastAsia="en-GB"/>
              </w:rPr>
            </w:pPr>
            <w:r w:rsidRPr="00DD162A">
              <w:rPr>
                <w:rFonts w:ascii="Arial" w:eastAsia="Times New Roman" w:hAnsi="Arial" w:cs="Arial"/>
                <w:color w:val="000000"/>
                <w:sz w:val="20"/>
                <w:szCs w:val="20"/>
                <w:lang w:eastAsia="en-GB"/>
              </w:rPr>
              <w:t>Finance income</w:t>
            </w:r>
          </w:p>
        </w:tc>
        <w:tc>
          <w:tcPr>
            <w:tcW w:w="709" w:type="dxa"/>
            <w:tcBorders>
              <w:top w:val="nil"/>
              <w:left w:val="nil"/>
              <w:bottom w:val="nil"/>
              <w:right w:val="nil"/>
            </w:tcBorders>
            <w:shd w:val="clear" w:color="auto" w:fill="auto"/>
            <w:noWrap/>
            <w:vAlign w:val="center"/>
          </w:tcPr>
          <w:p w14:paraId="0CBCAB5F" w14:textId="77777777" w:rsidR="00524910" w:rsidRPr="00DD162A" w:rsidRDefault="00524910" w:rsidP="00524910">
            <w:pPr>
              <w:jc w:val="right"/>
              <w:rPr>
                <w:rFonts w:ascii="Arial" w:eastAsia="Times New Roman" w:hAnsi="Arial" w:cs="Arial"/>
                <w:color w:val="000000"/>
                <w:sz w:val="20"/>
                <w:szCs w:val="20"/>
                <w:lang w:eastAsia="en-GB"/>
              </w:rPr>
            </w:pPr>
          </w:p>
        </w:tc>
        <w:tc>
          <w:tcPr>
            <w:tcW w:w="1464" w:type="dxa"/>
            <w:tcBorders>
              <w:top w:val="nil"/>
              <w:left w:val="nil"/>
              <w:bottom w:val="nil"/>
              <w:right w:val="nil"/>
            </w:tcBorders>
            <w:shd w:val="clear" w:color="auto" w:fill="auto"/>
            <w:noWrap/>
            <w:vAlign w:val="center"/>
          </w:tcPr>
          <w:p w14:paraId="3D07240B" w14:textId="7841E72C" w:rsidR="00524910" w:rsidRPr="00DD162A" w:rsidRDefault="009A3BF3" w:rsidP="00524910">
            <w:pPr>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246.1</w:t>
            </w:r>
          </w:p>
        </w:tc>
        <w:tc>
          <w:tcPr>
            <w:tcW w:w="1465" w:type="dxa"/>
            <w:tcBorders>
              <w:top w:val="nil"/>
              <w:left w:val="nil"/>
              <w:bottom w:val="nil"/>
              <w:right w:val="nil"/>
            </w:tcBorders>
            <w:vAlign w:val="center"/>
          </w:tcPr>
          <w:p w14:paraId="55FE8D3E" w14:textId="566FAE94" w:rsidR="00524910" w:rsidRPr="00DD162A" w:rsidRDefault="00524910" w:rsidP="00524910">
            <w:pPr>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101.9</w:t>
            </w:r>
          </w:p>
        </w:tc>
        <w:tc>
          <w:tcPr>
            <w:tcW w:w="1465" w:type="dxa"/>
            <w:tcBorders>
              <w:top w:val="nil"/>
              <w:left w:val="nil"/>
              <w:bottom w:val="nil"/>
              <w:right w:val="nil"/>
            </w:tcBorders>
            <w:vAlign w:val="center"/>
          </w:tcPr>
          <w:p w14:paraId="217D55CC" w14:textId="389D4146" w:rsidR="00524910" w:rsidRPr="0031229D" w:rsidRDefault="00524910" w:rsidP="00524910">
            <w:pPr>
              <w:jc w:val="right"/>
              <w:rPr>
                <w:rFonts w:ascii="Arial" w:eastAsia="Times New Roman" w:hAnsi="Arial" w:cs="Arial"/>
                <w:color w:val="000000"/>
                <w:sz w:val="20"/>
                <w:szCs w:val="20"/>
                <w:lang w:eastAsia="en-GB"/>
              </w:rPr>
            </w:pPr>
            <w:r w:rsidRPr="004F3092">
              <w:rPr>
                <w:rFonts w:ascii="Arial" w:eastAsia="Times New Roman" w:hAnsi="Arial" w:cs="Arial"/>
                <w:color w:val="000000"/>
                <w:sz w:val="20"/>
                <w:szCs w:val="20"/>
                <w:lang w:eastAsia="en-GB"/>
              </w:rPr>
              <w:t>327.2</w:t>
            </w:r>
          </w:p>
        </w:tc>
      </w:tr>
      <w:tr w:rsidR="00524910" w:rsidRPr="00DD162A" w14:paraId="1BE623BC" w14:textId="77777777" w:rsidTr="00B82B88">
        <w:trPr>
          <w:trHeight w:val="288"/>
        </w:trPr>
        <w:tc>
          <w:tcPr>
            <w:tcW w:w="3969" w:type="dxa"/>
            <w:tcBorders>
              <w:top w:val="nil"/>
              <w:left w:val="nil"/>
              <w:bottom w:val="nil"/>
              <w:right w:val="nil"/>
            </w:tcBorders>
            <w:shd w:val="clear" w:color="auto" w:fill="auto"/>
            <w:noWrap/>
            <w:vAlign w:val="center"/>
            <w:hideMark/>
          </w:tcPr>
          <w:p w14:paraId="26CBBCF0" w14:textId="77777777" w:rsidR="00524910" w:rsidRPr="00DD162A" w:rsidRDefault="00524910" w:rsidP="00524910">
            <w:pPr>
              <w:rPr>
                <w:rFonts w:ascii="Arial" w:eastAsia="Times New Roman" w:hAnsi="Arial" w:cs="Arial"/>
                <w:color w:val="000000"/>
                <w:sz w:val="20"/>
                <w:szCs w:val="20"/>
                <w:lang w:eastAsia="en-GB"/>
              </w:rPr>
            </w:pPr>
            <w:r w:rsidRPr="00DD162A">
              <w:rPr>
                <w:rFonts w:ascii="Arial" w:eastAsia="Times New Roman" w:hAnsi="Arial" w:cs="Arial"/>
                <w:color w:val="000000"/>
                <w:sz w:val="20"/>
                <w:szCs w:val="20"/>
                <w:lang w:eastAsia="en-GB"/>
              </w:rPr>
              <w:t>Finance expense</w:t>
            </w:r>
          </w:p>
        </w:tc>
        <w:tc>
          <w:tcPr>
            <w:tcW w:w="709" w:type="dxa"/>
            <w:tcBorders>
              <w:top w:val="nil"/>
              <w:left w:val="nil"/>
              <w:bottom w:val="nil"/>
              <w:right w:val="nil"/>
            </w:tcBorders>
            <w:shd w:val="clear" w:color="auto" w:fill="auto"/>
            <w:noWrap/>
            <w:vAlign w:val="center"/>
          </w:tcPr>
          <w:p w14:paraId="711C11EF" w14:textId="77777777" w:rsidR="00524910" w:rsidRPr="00DD162A" w:rsidRDefault="00524910" w:rsidP="00524910">
            <w:pPr>
              <w:jc w:val="right"/>
              <w:rPr>
                <w:rFonts w:ascii="Arial" w:eastAsia="Times New Roman" w:hAnsi="Arial" w:cs="Arial"/>
                <w:color w:val="000000"/>
                <w:sz w:val="20"/>
                <w:szCs w:val="20"/>
                <w:lang w:eastAsia="en-GB"/>
              </w:rPr>
            </w:pPr>
          </w:p>
        </w:tc>
        <w:tc>
          <w:tcPr>
            <w:tcW w:w="1464" w:type="dxa"/>
            <w:tcBorders>
              <w:top w:val="nil"/>
              <w:left w:val="nil"/>
              <w:bottom w:val="nil"/>
              <w:right w:val="nil"/>
            </w:tcBorders>
            <w:shd w:val="clear" w:color="auto" w:fill="auto"/>
            <w:noWrap/>
            <w:vAlign w:val="center"/>
          </w:tcPr>
          <w:p w14:paraId="5CE8FA5B" w14:textId="52CEBDC8" w:rsidR="00524910" w:rsidRPr="00DD162A" w:rsidRDefault="009A3BF3" w:rsidP="00524910">
            <w:pPr>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(51.1)</w:t>
            </w:r>
          </w:p>
        </w:tc>
        <w:tc>
          <w:tcPr>
            <w:tcW w:w="1465" w:type="dxa"/>
            <w:tcBorders>
              <w:top w:val="nil"/>
              <w:left w:val="nil"/>
              <w:bottom w:val="nil"/>
              <w:right w:val="nil"/>
            </w:tcBorders>
            <w:vAlign w:val="center"/>
          </w:tcPr>
          <w:p w14:paraId="70D94AB3" w14:textId="158935E4" w:rsidR="00524910" w:rsidRPr="00DD162A" w:rsidRDefault="00524910" w:rsidP="00524910">
            <w:pPr>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(43.5)</w:t>
            </w:r>
          </w:p>
        </w:tc>
        <w:tc>
          <w:tcPr>
            <w:tcW w:w="1465" w:type="dxa"/>
            <w:tcBorders>
              <w:top w:val="nil"/>
              <w:left w:val="nil"/>
              <w:bottom w:val="nil"/>
              <w:right w:val="nil"/>
            </w:tcBorders>
            <w:vAlign w:val="center"/>
          </w:tcPr>
          <w:p w14:paraId="5B13A678" w14:textId="03DDF8C5" w:rsidR="00524910" w:rsidRPr="0031229D" w:rsidRDefault="00524910" w:rsidP="00524910">
            <w:pPr>
              <w:jc w:val="right"/>
              <w:rPr>
                <w:rFonts w:ascii="Arial" w:eastAsia="Times New Roman" w:hAnsi="Arial" w:cs="Arial"/>
                <w:color w:val="000000"/>
                <w:sz w:val="20"/>
                <w:szCs w:val="20"/>
                <w:lang w:eastAsia="en-GB"/>
              </w:rPr>
            </w:pPr>
            <w:r w:rsidRPr="004F3092">
              <w:rPr>
                <w:rFonts w:ascii="Arial" w:eastAsia="Times New Roman" w:hAnsi="Arial" w:cs="Arial"/>
                <w:color w:val="000000"/>
                <w:sz w:val="20"/>
                <w:szCs w:val="20"/>
                <w:lang w:eastAsia="en-GB"/>
              </w:rPr>
              <w:t>(107.0)</w:t>
            </w:r>
          </w:p>
        </w:tc>
      </w:tr>
      <w:tr w:rsidR="00524910" w:rsidRPr="00DD162A" w14:paraId="2B14AEB4" w14:textId="77777777" w:rsidTr="00B82B88">
        <w:trPr>
          <w:trHeight w:val="288"/>
        </w:trPr>
        <w:tc>
          <w:tcPr>
            <w:tcW w:w="3969" w:type="dxa"/>
            <w:tcBorders>
              <w:top w:val="nil"/>
              <w:left w:val="nil"/>
              <w:bottom w:val="nil"/>
              <w:right w:val="nil"/>
            </w:tcBorders>
            <w:shd w:val="clear" w:color="auto" w:fill="auto"/>
            <w:noWrap/>
            <w:hideMark/>
          </w:tcPr>
          <w:p w14:paraId="66F5AA7A" w14:textId="77777777" w:rsidR="00524910" w:rsidRPr="00DD162A" w:rsidRDefault="00524910" w:rsidP="00524910">
            <w:pPr>
              <w:jc w:val="right"/>
              <w:rPr>
                <w:rFonts w:ascii="Arial" w:eastAsia="Times New Roman" w:hAnsi="Arial" w:cs="Arial"/>
                <w:color w:val="000000"/>
                <w:sz w:val="20"/>
                <w:szCs w:val="20"/>
                <w:lang w:eastAsia="en-GB"/>
              </w:rPr>
            </w:pPr>
          </w:p>
        </w:tc>
        <w:tc>
          <w:tcPr>
            <w:tcW w:w="709" w:type="dxa"/>
            <w:tcBorders>
              <w:top w:val="nil"/>
              <w:left w:val="nil"/>
              <w:bottom w:val="nil"/>
              <w:right w:val="nil"/>
            </w:tcBorders>
            <w:shd w:val="clear" w:color="auto" w:fill="auto"/>
            <w:noWrap/>
          </w:tcPr>
          <w:p w14:paraId="7999F996" w14:textId="77777777" w:rsidR="00524910" w:rsidRPr="00DD162A" w:rsidRDefault="00524910" w:rsidP="00524910">
            <w:pPr>
              <w:rPr>
                <w:rFonts w:ascii="Arial" w:eastAsia="Times New Roman" w:hAnsi="Arial" w:cs="Arial"/>
                <w:sz w:val="20"/>
                <w:szCs w:val="20"/>
                <w:lang w:eastAsia="en-GB"/>
              </w:rPr>
            </w:pPr>
          </w:p>
        </w:tc>
        <w:tc>
          <w:tcPr>
            <w:tcW w:w="1464" w:type="dxa"/>
            <w:tcBorders>
              <w:top w:val="nil"/>
              <w:left w:val="nil"/>
              <w:bottom w:val="single" w:sz="4" w:space="0" w:color="auto"/>
              <w:right w:val="nil"/>
            </w:tcBorders>
            <w:shd w:val="clear" w:color="auto" w:fill="auto"/>
            <w:noWrap/>
          </w:tcPr>
          <w:p w14:paraId="2308E595" w14:textId="77777777" w:rsidR="00524910" w:rsidRPr="00DD162A" w:rsidRDefault="00524910" w:rsidP="00524910">
            <w:pPr>
              <w:rPr>
                <w:rFonts w:ascii="Arial" w:eastAsia="Times New Roman" w:hAnsi="Arial" w:cs="Arial"/>
                <w:color w:val="000000"/>
                <w:sz w:val="20"/>
                <w:szCs w:val="20"/>
                <w:lang w:eastAsia="en-GB"/>
              </w:rPr>
            </w:pPr>
          </w:p>
        </w:tc>
        <w:tc>
          <w:tcPr>
            <w:tcW w:w="1465" w:type="dxa"/>
            <w:tcBorders>
              <w:top w:val="nil"/>
              <w:left w:val="nil"/>
              <w:bottom w:val="single" w:sz="4" w:space="0" w:color="auto"/>
              <w:right w:val="nil"/>
            </w:tcBorders>
          </w:tcPr>
          <w:p w14:paraId="275C42CC" w14:textId="77777777" w:rsidR="00524910" w:rsidRPr="00DD162A" w:rsidRDefault="00524910" w:rsidP="00524910">
            <w:pPr>
              <w:rPr>
                <w:rFonts w:ascii="Arial" w:eastAsia="Times New Roman" w:hAnsi="Arial" w:cs="Arial"/>
                <w:color w:val="000000"/>
                <w:sz w:val="20"/>
                <w:szCs w:val="20"/>
                <w:lang w:eastAsia="en-GB"/>
              </w:rPr>
            </w:pPr>
          </w:p>
        </w:tc>
        <w:tc>
          <w:tcPr>
            <w:tcW w:w="1465" w:type="dxa"/>
            <w:tcBorders>
              <w:top w:val="nil"/>
              <w:left w:val="nil"/>
              <w:bottom w:val="single" w:sz="4" w:space="0" w:color="auto"/>
              <w:right w:val="nil"/>
            </w:tcBorders>
          </w:tcPr>
          <w:p w14:paraId="197B5265" w14:textId="77777777" w:rsidR="00524910" w:rsidRPr="0031229D" w:rsidRDefault="00524910" w:rsidP="00524910">
            <w:pPr>
              <w:jc w:val="right"/>
              <w:rPr>
                <w:rFonts w:ascii="Arial" w:eastAsia="Times New Roman" w:hAnsi="Arial" w:cs="Arial"/>
                <w:color w:val="000000"/>
                <w:sz w:val="20"/>
                <w:szCs w:val="20"/>
                <w:lang w:eastAsia="en-GB"/>
              </w:rPr>
            </w:pPr>
          </w:p>
        </w:tc>
      </w:tr>
      <w:tr w:rsidR="00524910" w:rsidRPr="00DD162A" w14:paraId="630A3A68" w14:textId="77777777" w:rsidTr="00B82B88">
        <w:trPr>
          <w:trHeight w:val="288"/>
        </w:trPr>
        <w:tc>
          <w:tcPr>
            <w:tcW w:w="3969" w:type="dxa"/>
            <w:tcBorders>
              <w:top w:val="nil"/>
              <w:left w:val="nil"/>
              <w:bottom w:val="nil"/>
              <w:right w:val="nil"/>
            </w:tcBorders>
            <w:shd w:val="clear" w:color="auto" w:fill="auto"/>
            <w:noWrap/>
            <w:hideMark/>
          </w:tcPr>
          <w:p w14:paraId="537F0A34" w14:textId="77777777" w:rsidR="00524910" w:rsidRPr="00DD162A" w:rsidRDefault="00524910" w:rsidP="00524910">
            <w:pPr>
              <w:jc w:val="right"/>
              <w:rPr>
                <w:rFonts w:ascii="Arial" w:eastAsia="Times New Roman" w:hAnsi="Arial" w:cs="Arial"/>
                <w:b/>
                <w:bCs/>
                <w:color w:val="000000"/>
                <w:sz w:val="20"/>
                <w:szCs w:val="20"/>
                <w:lang w:eastAsia="en-GB"/>
              </w:rPr>
            </w:pPr>
          </w:p>
        </w:tc>
        <w:tc>
          <w:tcPr>
            <w:tcW w:w="709" w:type="dxa"/>
            <w:tcBorders>
              <w:top w:val="nil"/>
              <w:left w:val="nil"/>
              <w:bottom w:val="nil"/>
              <w:right w:val="nil"/>
            </w:tcBorders>
            <w:shd w:val="clear" w:color="auto" w:fill="auto"/>
            <w:noWrap/>
          </w:tcPr>
          <w:p w14:paraId="4BB74C6C" w14:textId="77777777" w:rsidR="00524910" w:rsidRPr="00DD162A" w:rsidRDefault="00524910" w:rsidP="00524910">
            <w:pPr>
              <w:rPr>
                <w:rFonts w:ascii="Arial" w:eastAsia="Times New Roman" w:hAnsi="Arial" w:cs="Arial"/>
                <w:sz w:val="20"/>
                <w:szCs w:val="20"/>
                <w:lang w:eastAsia="en-GB"/>
              </w:rPr>
            </w:pPr>
          </w:p>
        </w:tc>
        <w:tc>
          <w:tcPr>
            <w:tcW w:w="1464" w:type="dxa"/>
            <w:tcBorders>
              <w:top w:val="nil"/>
              <w:left w:val="nil"/>
              <w:bottom w:val="nil"/>
              <w:right w:val="nil"/>
            </w:tcBorders>
            <w:shd w:val="clear" w:color="auto" w:fill="auto"/>
            <w:noWrap/>
          </w:tcPr>
          <w:p w14:paraId="51FBBBC7" w14:textId="77777777" w:rsidR="00524910" w:rsidRPr="00DD162A" w:rsidRDefault="00524910" w:rsidP="00524910">
            <w:pPr>
              <w:rPr>
                <w:rFonts w:ascii="Arial" w:eastAsia="Times New Roman" w:hAnsi="Arial" w:cs="Arial"/>
                <w:sz w:val="20"/>
                <w:szCs w:val="20"/>
                <w:lang w:eastAsia="en-GB"/>
              </w:rPr>
            </w:pPr>
          </w:p>
        </w:tc>
        <w:tc>
          <w:tcPr>
            <w:tcW w:w="1465" w:type="dxa"/>
            <w:tcBorders>
              <w:top w:val="nil"/>
              <w:left w:val="nil"/>
              <w:bottom w:val="nil"/>
              <w:right w:val="nil"/>
            </w:tcBorders>
          </w:tcPr>
          <w:p w14:paraId="415F9464" w14:textId="77777777" w:rsidR="00524910" w:rsidRPr="00DD162A" w:rsidRDefault="00524910" w:rsidP="00524910">
            <w:pPr>
              <w:rPr>
                <w:rFonts w:ascii="Arial" w:eastAsia="Times New Roman" w:hAnsi="Arial" w:cs="Arial"/>
                <w:sz w:val="20"/>
                <w:szCs w:val="20"/>
                <w:lang w:eastAsia="en-GB"/>
              </w:rPr>
            </w:pPr>
          </w:p>
        </w:tc>
        <w:tc>
          <w:tcPr>
            <w:tcW w:w="1465" w:type="dxa"/>
            <w:tcBorders>
              <w:top w:val="nil"/>
              <w:left w:val="nil"/>
              <w:bottom w:val="nil"/>
              <w:right w:val="nil"/>
            </w:tcBorders>
          </w:tcPr>
          <w:p w14:paraId="0ACC84AB" w14:textId="77777777" w:rsidR="00524910" w:rsidRPr="0031229D" w:rsidRDefault="00524910" w:rsidP="00524910">
            <w:pPr>
              <w:jc w:val="right"/>
              <w:rPr>
                <w:rFonts w:ascii="Arial" w:eastAsia="Times New Roman" w:hAnsi="Arial" w:cs="Arial"/>
                <w:color w:val="000000"/>
                <w:sz w:val="20"/>
                <w:szCs w:val="20"/>
                <w:lang w:eastAsia="en-GB"/>
              </w:rPr>
            </w:pPr>
          </w:p>
        </w:tc>
      </w:tr>
      <w:tr w:rsidR="00524910" w:rsidRPr="00DD162A" w14:paraId="32393B01" w14:textId="77777777" w:rsidTr="00B82B88">
        <w:trPr>
          <w:trHeight w:val="288"/>
        </w:trPr>
        <w:tc>
          <w:tcPr>
            <w:tcW w:w="3969" w:type="dxa"/>
            <w:tcBorders>
              <w:top w:val="nil"/>
              <w:left w:val="nil"/>
              <w:bottom w:val="nil"/>
              <w:right w:val="nil"/>
            </w:tcBorders>
            <w:shd w:val="clear" w:color="auto" w:fill="auto"/>
            <w:noWrap/>
            <w:vAlign w:val="center"/>
            <w:hideMark/>
          </w:tcPr>
          <w:p w14:paraId="1A6FA105" w14:textId="77777777" w:rsidR="00524910" w:rsidRPr="00DD162A" w:rsidRDefault="00524910" w:rsidP="00524910">
            <w:pPr>
              <w:rPr>
                <w:rFonts w:ascii="Arial" w:eastAsia="Times New Roman" w:hAnsi="Arial" w:cs="Arial"/>
                <w:b/>
                <w:bCs/>
                <w:color w:val="000000"/>
                <w:sz w:val="20"/>
                <w:szCs w:val="20"/>
                <w:lang w:eastAsia="en-GB"/>
              </w:rPr>
            </w:pPr>
            <w:r w:rsidRPr="00DD162A">
              <w:rPr>
                <w:rFonts w:ascii="Arial" w:eastAsia="Times New Roman" w:hAnsi="Arial" w:cs="Arial"/>
                <w:b/>
                <w:bCs/>
                <w:color w:val="000000"/>
                <w:sz w:val="20"/>
                <w:szCs w:val="20"/>
                <w:lang w:eastAsia="en-GB"/>
              </w:rPr>
              <w:t>Profit before tax</w:t>
            </w:r>
          </w:p>
        </w:tc>
        <w:tc>
          <w:tcPr>
            <w:tcW w:w="709" w:type="dxa"/>
            <w:tcBorders>
              <w:top w:val="nil"/>
              <w:left w:val="nil"/>
              <w:bottom w:val="nil"/>
              <w:right w:val="nil"/>
            </w:tcBorders>
            <w:shd w:val="clear" w:color="auto" w:fill="auto"/>
            <w:noWrap/>
          </w:tcPr>
          <w:p w14:paraId="4780EC3F" w14:textId="77777777" w:rsidR="00524910" w:rsidRPr="00DD162A" w:rsidRDefault="00524910" w:rsidP="00524910">
            <w:pPr>
              <w:rPr>
                <w:rFonts w:ascii="Arial" w:eastAsia="Times New Roman" w:hAnsi="Arial" w:cs="Arial"/>
                <w:b/>
                <w:bCs/>
                <w:color w:val="000000"/>
                <w:sz w:val="20"/>
                <w:szCs w:val="20"/>
                <w:lang w:eastAsia="en-GB"/>
              </w:rPr>
            </w:pPr>
          </w:p>
        </w:tc>
        <w:tc>
          <w:tcPr>
            <w:tcW w:w="1464" w:type="dxa"/>
            <w:tcBorders>
              <w:top w:val="nil"/>
              <w:left w:val="nil"/>
              <w:bottom w:val="nil"/>
              <w:right w:val="nil"/>
            </w:tcBorders>
            <w:shd w:val="clear" w:color="auto" w:fill="auto"/>
            <w:vAlign w:val="center"/>
          </w:tcPr>
          <w:p w14:paraId="37F405E7" w14:textId="6544D0C8" w:rsidR="00524910" w:rsidRPr="00DD162A" w:rsidRDefault="00AE4260" w:rsidP="00524910">
            <w:pPr>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34,950.6</w:t>
            </w:r>
          </w:p>
        </w:tc>
        <w:tc>
          <w:tcPr>
            <w:tcW w:w="1465" w:type="dxa"/>
            <w:tcBorders>
              <w:top w:val="nil"/>
              <w:left w:val="nil"/>
              <w:bottom w:val="nil"/>
              <w:right w:val="nil"/>
            </w:tcBorders>
            <w:vAlign w:val="center"/>
          </w:tcPr>
          <w:p w14:paraId="279340AB" w14:textId="4BE5224D" w:rsidR="00524910" w:rsidRPr="00DD162A" w:rsidRDefault="00524910" w:rsidP="00524910">
            <w:pPr>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32,652.4</w:t>
            </w:r>
          </w:p>
        </w:tc>
        <w:tc>
          <w:tcPr>
            <w:tcW w:w="1465" w:type="dxa"/>
            <w:tcBorders>
              <w:top w:val="nil"/>
              <w:left w:val="nil"/>
              <w:bottom w:val="nil"/>
              <w:right w:val="nil"/>
            </w:tcBorders>
            <w:vAlign w:val="center"/>
          </w:tcPr>
          <w:p w14:paraId="57249A1D" w14:textId="759D44FA" w:rsidR="00524910" w:rsidRPr="00524910" w:rsidRDefault="00524910" w:rsidP="00524910">
            <w:pPr>
              <w:jc w:val="right"/>
              <w:rPr>
                <w:rFonts w:ascii="Arial" w:eastAsia="Times New Roman" w:hAnsi="Arial" w:cs="Arial"/>
                <w:b/>
                <w:color w:val="000000"/>
                <w:sz w:val="20"/>
                <w:szCs w:val="20"/>
                <w:lang w:eastAsia="en-GB"/>
              </w:rPr>
            </w:pPr>
            <w:r w:rsidRPr="00524910">
              <w:rPr>
                <w:rFonts w:ascii="Arial" w:eastAsia="Times New Roman" w:hAnsi="Arial" w:cs="Arial"/>
                <w:b/>
                <w:color w:val="000000"/>
                <w:sz w:val="20"/>
                <w:szCs w:val="20"/>
                <w:lang w:eastAsia="en-GB"/>
              </w:rPr>
              <w:t>75,577.4</w:t>
            </w:r>
          </w:p>
        </w:tc>
      </w:tr>
      <w:tr w:rsidR="00524910" w:rsidRPr="00DD162A" w14:paraId="19504445" w14:textId="77777777" w:rsidTr="00B82B88">
        <w:trPr>
          <w:trHeight w:val="288"/>
        </w:trPr>
        <w:tc>
          <w:tcPr>
            <w:tcW w:w="3969" w:type="dxa"/>
            <w:tcBorders>
              <w:top w:val="nil"/>
              <w:left w:val="nil"/>
              <w:bottom w:val="nil"/>
              <w:right w:val="nil"/>
            </w:tcBorders>
            <w:shd w:val="clear" w:color="auto" w:fill="auto"/>
            <w:noWrap/>
            <w:hideMark/>
          </w:tcPr>
          <w:p w14:paraId="5899617D" w14:textId="77777777" w:rsidR="00524910" w:rsidRPr="00DD162A" w:rsidRDefault="00524910" w:rsidP="00524910">
            <w:pPr>
              <w:jc w:val="right"/>
              <w:rPr>
                <w:rFonts w:ascii="Arial" w:eastAsia="Times New Roman" w:hAnsi="Arial" w:cs="Arial"/>
                <w:b/>
                <w:bCs/>
                <w:color w:val="000000"/>
                <w:sz w:val="20"/>
                <w:szCs w:val="20"/>
                <w:lang w:eastAsia="en-GB"/>
              </w:rPr>
            </w:pPr>
          </w:p>
        </w:tc>
        <w:tc>
          <w:tcPr>
            <w:tcW w:w="709" w:type="dxa"/>
            <w:tcBorders>
              <w:top w:val="nil"/>
              <w:left w:val="nil"/>
              <w:bottom w:val="nil"/>
              <w:right w:val="nil"/>
            </w:tcBorders>
            <w:shd w:val="clear" w:color="auto" w:fill="auto"/>
            <w:noWrap/>
          </w:tcPr>
          <w:p w14:paraId="0F3DE73B" w14:textId="77777777" w:rsidR="00524910" w:rsidRPr="00DD162A" w:rsidRDefault="00524910" w:rsidP="00524910">
            <w:pPr>
              <w:rPr>
                <w:rFonts w:ascii="Arial" w:eastAsia="Times New Roman" w:hAnsi="Arial" w:cs="Arial"/>
                <w:sz w:val="20"/>
                <w:szCs w:val="20"/>
                <w:lang w:eastAsia="en-GB"/>
              </w:rPr>
            </w:pPr>
          </w:p>
        </w:tc>
        <w:tc>
          <w:tcPr>
            <w:tcW w:w="1464" w:type="dxa"/>
            <w:tcBorders>
              <w:top w:val="nil"/>
              <w:left w:val="nil"/>
              <w:bottom w:val="nil"/>
              <w:right w:val="nil"/>
            </w:tcBorders>
            <w:shd w:val="clear" w:color="auto" w:fill="auto"/>
            <w:noWrap/>
          </w:tcPr>
          <w:p w14:paraId="54DC8EB6" w14:textId="77777777" w:rsidR="00524910" w:rsidRPr="00DD162A" w:rsidRDefault="00524910" w:rsidP="00524910">
            <w:pPr>
              <w:rPr>
                <w:rFonts w:ascii="Arial" w:eastAsia="Times New Roman" w:hAnsi="Arial" w:cs="Arial"/>
                <w:sz w:val="20"/>
                <w:szCs w:val="20"/>
                <w:lang w:eastAsia="en-GB"/>
              </w:rPr>
            </w:pPr>
          </w:p>
        </w:tc>
        <w:tc>
          <w:tcPr>
            <w:tcW w:w="1465" w:type="dxa"/>
            <w:tcBorders>
              <w:top w:val="nil"/>
              <w:left w:val="nil"/>
              <w:bottom w:val="nil"/>
              <w:right w:val="nil"/>
            </w:tcBorders>
          </w:tcPr>
          <w:p w14:paraId="2C5BB283" w14:textId="77777777" w:rsidR="00524910" w:rsidRPr="00DD162A" w:rsidRDefault="00524910" w:rsidP="00524910">
            <w:pPr>
              <w:rPr>
                <w:rFonts w:ascii="Arial" w:eastAsia="Times New Roman" w:hAnsi="Arial" w:cs="Arial"/>
                <w:sz w:val="20"/>
                <w:szCs w:val="20"/>
                <w:lang w:eastAsia="en-GB"/>
              </w:rPr>
            </w:pPr>
          </w:p>
        </w:tc>
        <w:tc>
          <w:tcPr>
            <w:tcW w:w="1465" w:type="dxa"/>
            <w:tcBorders>
              <w:top w:val="nil"/>
              <w:left w:val="nil"/>
              <w:bottom w:val="nil"/>
              <w:right w:val="nil"/>
            </w:tcBorders>
          </w:tcPr>
          <w:p w14:paraId="54DC0FA0" w14:textId="77777777" w:rsidR="00524910" w:rsidRPr="0031229D" w:rsidRDefault="00524910" w:rsidP="00524910">
            <w:pPr>
              <w:jc w:val="right"/>
              <w:rPr>
                <w:rFonts w:ascii="Arial" w:eastAsia="Times New Roman" w:hAnsi="Arial" w:cs="Arial"/>
                <w:color w:val="000000"/>
                <w:sz w:val="20"/>
                <w:szCs w:val="20"/>
                <w:lang w:eastAsia="en-GB"/>
              </w:rPr>
            </w:pPr>
          </w:p>
        </w:tc>
      </w:tr>
      <w:tr w:rsidR="00524910" w:rsidRPr="00DD162A" w14:paraId="41BAA0CE" w14:textId="77777777" w:rsidTr="00B82B88">
        <w:trPr>
          <w:trHeight w:val="288"/>
        </w:trPr>
        <w:tc>
          <w:tcPr>
            <w:tcW w:w="3969" w:type="dxa"/>
            <w:tcBorders>
              <w:top w:val="nil"/>
              <w:left w:val="nil"/>
              <w:bottom w:val="nil"/>
              <w:right w:val="nil"/>
            </w:tcBorders>
            <w:shd w:val="clear" w:color="auto" w:fill="auto"/>
            <w:noWrap/>
            <w:vAlign w:val="center"/>
            <w:hideMark/>
          </w:tcPr>
          <w:p w14:paraId="3757C80F" w14:textId="77777777" w:rsidR="00524910" w:rsidRPr="00DD162A" w:rsidRDefault="00524910" w:rsidP="00524910">
            <w:pPr>
              <w:rPr>
                <w:rFonts w:ascii="Arial" w:eastAsia="Times New Roman" w:hAnsi="Arial" w:cs="Arial"/>
                <w:color w:val="000000"/>
                <w:sz w:val="20"/>
                <w:szCs w:val="20"/>
                <w:lang w:eastAsia="en-GB"/>
              </w:rPr>
            </w:pPr>
            <w:r w:rsidRPr="00DD162A">
              <w:rPr>
                <w:rFonts w:ascii="Arial" w:eastAsia="Times New Roman" w:hAnsi="Arial" w:cs="Arial"/>
                <w:color w:val="000000"/>
                <w:sz w:val="20"/>
                <w:szCs w:val="20"/>
                <w:lang w:eastAsia="en-GB"/>
              </w:rPr>
              <w:t>Tax expense</w:t>
            </w:r>
          </w:p>
        </w:tc>
        <w:tc>
          <w:tcPr>
            <w:tcW w:w="709" w:type="dxa"/>
            <w:tcBorders>
              <w:top w:val="nil"/>
              <w:left w:val="nil"/>
              <w:bottom w:val="nil"/>
              <w:right w:val="nil"/>
            </w:tcBorders>
            <w:shd w:val="clear" w:color="auto" w:fill="auto"/>
            <w:noWrap/>
            <w:vAlign w:val="center"/>
          </w:tcPr>
          <w:p w14:paraId="3DA2BBBE" w14:textId="77777777" w:rsidR="00524910" w:rsidRPr="00DD162A" w:rsidRDefault="00524910" w:rsidP="00524910">
            <w:pPr>
              <w:jc w:val="right"/>
              <w:rPr>
                <w:rFonts w:ascii="Arial" w:eastAsia="Times New Roman" w:hAnsi="Arial" w:cs="Arial"/>
                <w:color w:val="000000"/>
                <w:sz w:val="20"/>
                <w:szCs w:val="20"/>
                <w:lang w:eastAsia="en-GB"/>
              </w:rPr>
            </w:pPr>
          </w:p>
        </w:tc>
        <w:tc>
          <w:tcPr>
            <w:tcW w:w="1464" w:type="dxa"/>
            <w:tcBorders>
              <w:top w:val="nil"/>
              <w:left w:val="nil"/>
              <w:bottom w:val="nil"/>
              <w:right w:val="nil"/>
            </w:tcBorders>
            <w:shd w:val="clear" w:color="auto" w:fill="auto"/>
            <w:noWrap/>
            <w:vAlign w:val="center"/>
          </w:tcPr>
          <w:p w14:paraId="27094F20" w14:textId="69260414" w:rsidR="00524910" w:rsidRPr="00DD162A" w:rsidRDefault="00AE4260" w:rsidP="00524910">
            <w:pPr>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(6,626.5)</w:t>
            </w:r>
          </w:p>
        </w:tc>
        <w:tc>
          <w:tcPr>
            <w:tcW w:w="1465" w:type="dxa"/>
            <w:tcBorders>
              <w:top w:val="nil"/>
              <w:left w:val="nil"/>
              <w:bottom w:val="nil"/>
              <w:right w:val="nil"/>
            </w:tcBorders>
            <w:vAlign w:val="center"/>
          </w:tcPr>
          <w:p w14:paraId="2B2D5611" w14:textId="3061BFD6" w:rsidR="00524910" w:rsidRPr="00DD162A" w:rsidRDefault="00524910" w:rsidP="00524910">
            <w:pPr>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(6,188.6)</w:t>
            </w:r>
          </w:p>
        </w:tc>
        <w:tc>
          <w:tcPr>
            <w:tcW w:w="1465" w:type="dxa"/>
            <w:tcBorders>
              <w:top w:val="nil"/>
              <w:left w:val="nil"/>
              <w:bottom w:val="nil"/>
              <w:right w:val="nil"/>
            </w:tcBorders>
            <w:vAlign w:val="center"/>
          </w:tcPr>
          <w:p w14:paraId="054BA30B" w14:textId="271AB531" w:rsidR="00524910" w:rsidRPr="0031229D" w:rsidRDefault="00524910" w:rsidP="00524910">
            <w:pPr>
              <w:jc w:val="right"/>
              <w:rPr>
                <w:rFonts w:ascii="Arial" w:eastAsia="Times New Roman" w:hAnsi="Arial" w:cs="Arial"/>
                <w:color w:val="000000"/>
                <w:sz w:val="20"/>
                <w:szCs w:val="20"/>
                <w:lang w:eastAsia="en-GB"/>
              </w:rPr>
            </w:pPr>
            <w:r w:rsidRPr="004F3092">
              <w:rPr>
                <w:rFonts w:ascii="Arial" w:eastAsia="Times New Roman" w:hAnsi="Arial" w:cs="Arial"/>
                <w:color w:val="000000"/>
                <w:sz w:val="20"/>
                <w:szCs w:val="20"/>
                <w:lang w:eastAsia="en-GB"/>
              </w:rPr>
              <w:t>(13,801.6)</w:t>
            </w:r>
          </w:p>
        </w:tc>
      </w:tr>
      <w:tr w:rsidR="00524910" w:rsidRPr="00DD162A" w14:paraId="76F8F59A" w14:textId="77777777" w:rsidTr="00B82B88">
        <w:trPr>
          <w:trHeight w:val="288"/>
        </w:trPr>
        <w:tc>
          <w:tcPr>
            <w:tcW w:w="3969" w:type="dxa"/>
            <w:tcBorders>
              <w:top w:val="nil"/>
              <w:left w:val="nil"/>
              <w:bottom w:val="nil"/>
              <w:right w:val="nil"/>
            </w:tcBorders>
            <w:shd w:val="clear" w:color="auto" w:fill="auto"/>
            <w:noWrap/>
            <w:hideMark/>
          </w:tcPr>
          <w:p w14:paraId="2FB7E770" w14:textId="77777777" w:rsidR="00524910" w:rsidRPr="00DD162A" w:rsidRDefault="00524910" w:rsidP="00524910">
            <w:pPr>
              <w:jc w:val="right"/>
              <w:rPr>
                <w:rFonts w:ascii="Arial" w:eastAsia="Times New Roman" w:hAnsi="Arial" w:cs="Arial"/>
                <w:color w:val="000000"/>
                <w:sz w:val="20"/>
                <w:szCs w:val="20"/>
                <w:lang w:eastAsia="en-GB"/>
              </w:rPr>
            </w:pPr>
          </w:p>
        </w:tc>
        <w:tc>
          <w:tcPr>
            <w:tcW w:w="709" w:type="dxa"/>
            <w:tcBorders>
              <w:top w:val="nil"/>
              <w:left w:val="nil"/>
              <w:bottom w:val="nil"/>
              <w:right w:val="nil"/>
            </w:tcBorders>
            <w:shd w:val="clear" w:color="auto" w:fill="auto"/>
            <w:noWrap/>
            <w:hideMark/>
          </w:tcPr>
          <w:p w14:paraId="3D367D0B" w14:textId="77777777" w:rsidR="00524910" w:rsidRPr="00DD162A" w:rsidRDefault="00524910" w:rsidP="00524910">
            <w:pPr>
              <w:rPr>
                <w:rFonts w:ascii="Arial" w:eastAsia="Times New Roman" w:hAnsi="Arial" w:cs="Arial"/>
                <w:sz w:val="20"/>
                <w:szCs w:val="20"/>
                <w:lang w:eastAsia="en-GB"/>
              </w:rPr>
            </w:pPr>
          </w:p>
        </w:tc>
        <w:tc>
          <w:tcPr>
            <w:tcW w:w="1464" w:type="dxa"/>
            <w:tcBorders>
              <w:top w:val="nil"/>
              <w:left w:val="nil"/>
              <w:bottom w:val="single" w:sz="4" w:space="0" w:color="auto"/>
              <w:right w:val="nil"/>
            </w:tcBorders>
            <w:shd w:val="clear" w:color="auto" w:fill="auto"/>
            <w:noWrap/>
          </w:tcPr>
          <w:p w14:paraId="6E67E22A" w14:textId="77777777" w:rsidR="00524910" w:rsidRPr="00DD162A" w:rsidRDefault="00524910" w:rsidP="00524910">
            <w:pPr>
              <w:rPr>
                <w:rFonts w:ascii="Arial" w:eastAsia="Times New Roman" w:hAnsi="Arial" w:cs="Arial"/>
                <w:color w:val="000000"/>
                <w:sz w:val="20"/>
                <w:szCs w:val="20"/>
                <w:lang w:eastAsia="en-GB"/>
              </w:rPr>
            </w:pPr>
          </w:p>
        </w:tc>
        <w:tc>
          <w:tcPr>
            <w:tcW w:w="1465" w:type="dxa"/>
            <w:tcBorders>
              <w:top w:val="nil"/>
              <w:left w:val="nil"/>
              <w:bottom w:val="single" w:sz="4" w:space="0" w:color="auto"/>
              <w:right w:val="nil"/>
            </w:tcBorders>
          </w:tcPr>
          <w:p w14:paraId="225C56ED" w14:textId="77777777" w:rsidR="00524910" w:rsidRPr="00DD162A" w:rsidRDefault="00524910" w:rsidP="00524910">
            <w:pPr>
              <w:rPr>
                <w:rFonts w:ascii="Arial" w:eastAsia="Times New Roman" w:hAnsi="Arial" w:cs="Arial"/>
                <w:color w:val="000000"/>
                <w:sz w:val="20"/>
                <w:szCs w:val="20"/>
                <w:lang w:eastAsia="en-GB"/>
              </w:rPr>
            </w:pPr>
          </w:p>
        </w:tc>
        <w:tc>
          <w:tcPr>
            <w:tcW w:w="1465" w:type="dxa"/>
            <w:tcBorders>
              <w:top w:val="nil"/>
              <w:left w:val="nil"/>
              <w:bottom w:val="single" w:sz="4" w:space="0" w:color="auto"/>
              <w:right w:val="nil"/>
            </w:tcBorders>
          </w:tcPr>
          <w:p w14:paraId="4B7F8AB4" w14:textId="076250F9" w:rsidR="00524910" w:rsidRPr="0031229D" w:rsidRDefault="00524910" w:rsidP="00524910">
            <w:pPr>
              <w:jc w:val="right"/>
              <w:rPr>
                <w:rFonts w:ascii="Arial" w:eastAsia="Times New Roman" w:hAnsi="Arial" w:cs="Arial"/>
                <w:color w:val="000000"/>
                <w:sz w:val="20"/>
                <w:szCs w:val="20"/>
                <w:lang w:eastAsia="en-GB"/>
              </w:rPr>
            </w:pPr>
          </w:p>
        </w:tc>
      </w:tr>
      <w:tr w:rsidR="00524910" w:rsidRPr="00DD162A" w14:paraId="6B128325" w14:textId="77777777" w:rsidTr="00B82B88">
        <w:trPr>
          <w:trHeight w:val="576"/>
        </w:trPr>
        <w:tc>
          <w:tcPr>
            <w:tcW w:w="3969" w:type="dxa"/>
            <w:tcBorders>
              <w:top w:val="nil"/>
              <w:left w:val="nil"/>
              <w:bottom w:val="nil"/>
              <w:right w:val="nil"/>
            </w:tcBorders>
            <w:shd w:val="clear" w:color="auto" w:fill="auto"/>
            <w:vAlign w:val="center"/>
            <w:hideMark/>
          </w:tcPr>
          <w:p w14:paraId="47F30975" w14:textId="77777777" w:rsidR="00524910" w:rsidRPr="00DD162A" w:rsidRDefault="00524910" w:rsidP="00524910">
            <w:pPr>
              <w:rPr>
                <w:rFonts w:ascii="Arial" w:eastAsia="Times New Roman" w:hAnsi="Arial" w:cs="Arial"/>
                <w:b/>
                <w:bCs/>
                <w:color w:val="000000"/>
                <w:sz w:val="20"/>
                <w:szCs w:val="20"/>
                <w:lang w:eastAsia="en-GB"/>
              </w:rPr>
            </w:pPr>
            <w:r w:rsidRPr="00DD162A">
              <w:rPr>
                <w:rFonts w:ascii="Arial" w:eastAsia="Times New Roman" w:hAnsi="Arial" w:cs="Arial"/>
                <w:b/>
                <w:bCs/>
                <w:color w:val="000000"/>
                <w:sz w:val="20"/>
                <w:szCs w:val="20"/>
                <w:lang w:eastAsia="en-GB"/>
              </w:rPr>
              <w:t>Profit for the year/period</w:t>
            </w:r>
          </w:p>
        </w:tc>
        <w:tc>
          <w:tcPr>
            <w:tcW w:w="709" w:type="dxa"/>
            <w:tcBorders>
              <w:top w:val="nil"/>
              <w:left w:val="nil"/>
              <w:bottom w:val="nil"/>
              <w:right w:val="nil"/>
            </w:tcBorders>
            <w:shd w:val="clear" w:color="auto" w:fill="auto"/>
            <w:noWrap/>
            <w:hideMark/>
          </w:tcPr>
          <w:p w14:paraId="51BEB8BA" w14:textId="77777777" w:rsidR="00524910" w:rsidRPr="00DD162A" w:rsidRDefault="00524910" w:rsidP="00524910">
            <w:pPr>
              <w:rPr>
                <w:rFonts w:ascii="Arial" w:eastAsia="Times New Roman" w:hAnsi="Arial" w:cs="Arial"/>
                <w:b/>
                <w:bCs/>
                <w:color w:val="000000"/>
                <w:sz w:val="20"/>
                <w:szCs w:val="20"/>
                <w:lang w:eastAsia="en-GB"/>
              </w:rPr>
            </w:pPr>
          </w:p>
        </w:tc>
        <w:tc>
          <w:tcPr>
            <w:tcW w:w="1464" w:type="dxa"/>
            <w:tcBorders>
              <w:top w:val="nil"/>
              <w:left w:val="nil"/>
              <w:bottom w:val="nil"/>
              <w:right w:val="nil"/>
            </w:tcBorders>
            <w:shd w:val="clear" w:color="auto" w:fill="auto"/>
            <w:vAlign w:val="center"/>
          </w:tcPr>
          <w:p w14:paraId="1CC18EA4" w14:textId="168FCFC6" w:rsidR="00524910" w:rsidRPr="00DD162A" w:rsidRDefault="00AE4260" w:rsidP="00524910">
            <w:pPr>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28,324.</w:t>
            </w:r>
            <w:r w:rsidR="00EA678C">
              <w:rPr>
                <w:rFonts w:ascii="Arial" w:eastAsia="Times New Roman" w:hAnsi="Arial" w:cs="Arial"/>
                <w:b/>
                <w:bCs/>
                <w:color w:val="000000"/>
                <w:sz w:val="20"/>
                <w:szCs w:val="20"/>
                <w:lang w:eastAsia="en-GB"/>
              </w:rPr>
              <w:t>1</w:t>
            </w:r>
          </w:p>
        </w:tc>
        <w:tc>
          <w:tcPr>
            <w:tcW w:w="1465" w:type="dxa"/>
            <w:tcBorders>
              <w:top w:val="nil"/>
              <w:left w:val="nil"/>
              <w:bottom w:val="nil"/>
              <w:right w:val="nil"/>
            </w:tcBorders>
            <w:vAlign w:val="center"/>
          </w:tcPr>
          <w:p w14:paraId="4889DF9A" w14:textId="310942BE" w:rsidR="00524910" w:rsidRPr="00DD162A" w:rsidRDefault="00524910" w:rsidP="00524910">
            <w:pPr>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26,463.8</w:t>
            </w:r>
          </w:p>
        </w:tc>
        <w:tc>
          <w:tcPr>
            <w:tcW w:w="1465" w:type="dxa"/>
            <w:tcBorders>
              <w:top w:val="nil"/>
              <w:left w:val="nil"/>
              <w:bottom w:val="nil"/>
              <w:right w:val="nil"/>
            </w:tcBorders>
            <w:vAlign w:val="center"/>
          </w:tcPr>
          <w:p w14:paraId="6C53EF5C" w14:textId="67E4BA98" w:rsidR="00524910" w:rsidRPr="00524910" w:rsidRDefault="00524910" w:rsidP="00524910">
            <w:pPr>
              <w:jc w:val="right"/>
              <w:rPr>
                <w:rFonts w:ascii="Arial" w:eastAsia="Times New Roman" w:hAnsi="Arial" w:cs="Arial"/>
                <w:b/>
                <w:color w:val="000000"/>
                <w:sz w:val="20"/>
                <w:szCs w:val="20"/>
                <w:lang w:eastAsia="en-GB"/>
              </w:rPr>
            </w:pPr>
            <w:r w:rsidRPr="00524910">
              <w:rPr>
                <w:rFonts w:ascii="Arial" w:eastAsia="Times New Roman" w:hAnsi="Arial" w:cs="Arial"/>
                <w:b/>
                <w:color w:val="000000"/>
                <w:sz w:val="20"/>
                <w:szCs w:val="20"/>
                <w:lang w:eastAsia="en-GB"/>
              </w:rPr>
              <w:t>61,775.8</w:t>
            </w:r>
          </w:p>
        </w:tc>
      </w:tr>
      <w:tr w:rsidR="00524910" w:rsidRPr="00DD162A" w14:paraId="767E39A1" w14:textId="77777777" w:rsidTr="00B82B88">
        <w:trPr>
          <w:trHeight w:val="288"/>
        </w:trPr>
        <w:tc>
          <w:tcPr>
            <w:tcW w:w="3969" w:type="dxa"/>
            <w:tcBorders>
              <w:top w:val="nil"/>
              <w:left w:val="nil"/>
              <w:bottom w:val="nil"/>
              <w:right w:val="nil"/>
            </w:tcBorders>
            <w:shd w:val="clear" w:color="auto" w:fill="auto"/>
            <w:noWrap/>
            <w:hideMark/>
          </w:tcPr>
          <w:p w14:paraId="403E23D8" w14:textId="77777777" w:rsidR="00524910" w:rsidRPr="004421B2" w:rsidRDefault="00524910" w:rsidP="00524910">
            <w:pPr>
              <w:rPr>
                <w:rFonts w:ascii="Arial" w:eastAsia="Times New Roman" w:hAnsi="Arial" w:cs="Arial"/>
                <w:b/>
                <w:bCs/>
                <w:i/>
                <w:color w:val="000000"/>
                <w:sz w:val="20"/>
                <w:szCs w:val="20"/>
                <w:lang w:eastAsia="en-GB"/>
              </w:rPr>
            </w:pPr>
            <w:r>
              <w:rPr>
                <w:rFonts w:ascii="Arial" w:eastAsia="Times New Roman" w:hAnsi="Arial" w:cs="Arial"/>
                <w:b/>
                <w:bCs/>
                <w:i/>
                <w:color w:val="000000"/>
                <w:sz w:val="20"/>
                <w:szCs w:val="20"/>
                <w:lang w:eastAsia="en-GB"/>
              </w:rPr>
              <w:t>Items that may be reclassified to profit or loss</w:t>
            </w:r>
          </w:p>
        </w:tc>
        <w:tc>
          <w:tcPr>
            <w:tcW w:w="709" w:type="dxa"/>
            <w:tcBorders>
              <w:top w:val="nil"/>
              <w:left w:val="nil"/>
              <w:bottom w:val="nil"/>
              <w:right w:val="nil"/>
            </w:tcBorders>
            <w:shd w:val="clear" w:color="auto" w:fill="auto"/>
            <w:noWrap/>
            <w:hideMark/>
          </w:tcPr>
          <w:p w14:paraId="2AF1E39F" w14:textId="77777777" w:rsidR="00524910" w:rsidRPr="00DD162A" w:rsidRDefault="00524910" w:rsidP="00524910">
            <w:pPr>
              <w:rPr>
                <w:rFonts w:ascii="Arial" w:eastAsia="Times New Roman" w:hAnsi="Arial" w:cs="Arial"/>
                <w:sz w:val="20"/>
                <w:szCs w:val="20"/>
                <w:lang w:eastAsia="en-GB"/>
              </w:rPr>
            </w:pPr>
          </w:p>
        </w:tc>
        <w:tc>
          <w:tcPr>
            <w:tcW w:w="1464" w:type="dxa"/>
            <w:tcBorders>
              <w:top w:val="nil"/>
              <w:left w:val="nil"/>
              <w:bottom w:val="nil"/>
              <w:right w:val="nil"/>
            </w:tcBorders>
            <w:shd w:val="clear" w:color="auto" w:fill="auto"/>
            <w:noWrap/>
            <w:vAlign w:val="bottom"/>
          </w:tcPr>
          <w:p w14:paraId="1CB60F8C" w14:textId="77777777" w:rsidR="00524910" w:rsidRPr="00DD162A" w:rsidRDefault="00524910" w:rsidP="00524910">
            <w:pPr>
              <w:rPr>
                <w:rFonts w:ascii="Arial" w:eastAsia="Times New Roman" w:hAnsi="Arial" w:cs="Arial"/>
                <w:sz w:val="20"/>
                <w:szCs w:val="20"/>
                <w:lang w:eastAsia="en-GB"/>
              </w:rPr>
            </w:pPr>
          </w:p>
        </w:tc>
        <w:tc>
          <w:tcPr>
            <w:tcW w:w="1465" w:type="dxa"/>
            <w:tcBorders>
              <w:top w:val="nil"/>
              <w:left w:val="nil"/>
              <w:bottom w:val="nil"/>
              <w:right w:val="nil"/>
            </w:tcBorders>
            <w:vAlign w:val="bottom"/>
          </w:tcPr>
          <w:p w14:paraId="0F7F3DF6" w14:textId="77777777" w:rsidR="00524910" w:rsidRPr="00DD162A" w:rsidRDefault="00524910" w:rsidP="00524910">
            <w:pPr>
              <w:rPr>
                <w:rFonts w:ascii="Arial" w:eastAsia="Times New Roman" w:hAnsi="Arial" w:cs="Arial"/>
                <w:sz w:val="20"/>
                <w:szCs w:val="20"/>
                <w:lang w:eastAsia="en-GB"/>
              </w:rPr>
            </w:pPr>
          </w:p>
        </w:tc>
        <w:tc>
          <w:tcPr>
            <w:tcW w:w="1465" w:type="dxa"/>
            <w:tcBorders>
              <w:top w:val="nil"/>
              <w:left w:val="nil"/>
              <w:bottom w:val="nil"/>
              <w:right w:val="nil"/>
            </w:tcBorders>
            <w:vAlign w:val="bottom"/>
          </w:tcPr>
          <w:p w14:paraId="1F78C084" w14:textId="77777777" w:rsidR="00524910" w:rsidRPr="0031229D" w:rsidRDefault="00524910" w:rsidP="00524910">
            <w:pPr>
              <w:rPr>
                <w:rFonts w:ascii="Arial" w:eastAsia="Times New Roman" w:hAnsi="Arial" w:cs="Arial"/>
                <w:color w:val="000000"/>
                <w:sz w:val="20"/>
                <w:szCs w:val="20"/>
                <w:lang w:eastAsia="en-GB"/>
              </w:rPr>
            </w:pPr>
          </w:p>
        </w:tc>
      </w:tr>
      <w:tr w:rsidR="00524910" w:rsidRPr="00DD162A" w14:paraId="62F64F16" w14:textId="77777777" w:rsidTr="00B82B88">
        <w:trPr>
          <w:trHeight w:val="509"/>
        </w:trPr>
        <w:tc>
          <w:tcPr>
            <w:tcW w:w="3969" w:type="dxa"/>
            <w:tcBorders>
              <w:top w:val="nil"/>
              <w:left w:val="nil"/>
              <w:bottom w:val="nil"/>
              <w:right w:val="nil"/>
            </w:tcBorders>
            <w:shd w:val="clear" w:color="auto" w:fill="auto"/>
            <w:noWrap/>
          </w:tcPr>
          <w:p w14:paraId="6375BFBC" w14:textId="77777777" w:rsidR="00524910" w:rsidRPr="004421B2" w:rsidRDefault="00524910" w:rsidP="00524910">
            <w:pPr>
              <w:rPr>
                <w:rFonts w:ascii="Arial" w:eastAsia="Times New Roman" w:hAnsi="Arial" w:cs="Arial"/>
                <w:color w:val="000000"/>
                <w:sz w:val="20"/>
                <w:szCs w:val="20"/>
                <w:lang w:eastAsia="en-GB"/>
              </w:rPr>
            </w:pPr>
            <w:r w:rsidRPr="004421B2">
              <w:rPr>
                <w:rFonts w:ascii="Arial" w:eastAsia="Times New Roman" w:hAnsi="Arial" w:cs="Arial"/>
                <w:color w:val="000000"/>
                <w:sz w:val="20"/>
                <w:szCs w:val="20"/>
                <w:lang w:eastAsia="en-GB"/>
              </w:rPr>
              <w:t>Foreign currency translation difference of foreign operations</w:t>
            </w:r>
            <w:r w:rsidRPr="004421B2">
              <w:rPr>
                <w:rFonts w:ascii="Arial" w:eastAsia="Times New Roman" w:hAnsi="Arial" w:cs="Arial"/>
                <w:color w:val="000000"/>
                <w:sz w:val="20"/>
                <w:szCs w:val="20"/>
                <w:lang w:eastAsia="en-GB"/>
              </w:rPr>
              <w:tab/>
            </w:r>
          </w:p>
          <w:p w14:paraId="37497F04" w14:textId="77777777" w:rsidR="00524910" w:rsidRPr="00DD162A" w:rsidRDefault="00524910" w:rsidP="00524910">
            <w:pPr>
              <w:jc w:val="right"/>
              <w:rPr>
                <w:rFonts w:ascii="Arial" w:eastAsia="Times New Roman" w:hAnsi="Arial" w:cs="Arial"/>
                <w:sz w:val="20"/>
                <w:szCs w:val="20"/>
                <w:lang w:eastAsia="en-GB"/>
              </w:rPr>
            </w:pPr>
            <w:r w:rsidRPr="004421B2">
              <w:rPr>
                <w:rFonts w:ascii="Arial" w:eastAsia="Times New Roman" w:hAnsi="Arial" w:cs="Arial"/>
                <w:sz w:val="20"/>
                <w:szCs w:val="20"/>
                <w:lang w:eastAsia="en-GB"/>
              </w:rPr>
              <w:tab/>
            </w:r>
          </w:p>
        </w:tc>
        <w:tc>
          <w:tcPr>
            <w:tcW w:w="709" w:type="dxa"/>
            <w:tcBorders>
              <w:top w:val="nil"/>
              <w:left w:val="nil"/>
              <w:bottom w:val="nil"/>
              <w:right w:val="nil"/>
            </w:tcBorders>
            <w:shd w:val="clear" w:color="auto" w:fill="auto"/>
            <w:noWrap/>
            <w:hideMark/>
          </w:tcPr>
          <w:p w14:paraId="199A8FA0" w14:textId="77777777" w:rsidR="00524910" w:rsidRPr="004421B2" w:rsidRDefault="00524910" w:rsidP="00524910">
            <w:pPr>
              <w:jc w:val="right"/>
              <w:rPr>
                <w:rFonts w:ascii="Arial" w:eastAsia="Times New Roman" w:hAnsi="Arial" w:cs="Arial"/>
                <w:b/>
                <w:bCs/>
                <w:color w:val="000000"/>
                <w:sz w:val="20"/>
                <w:szCs w:val="20"/>
                <w:lang w:eastAsia="en-GB"/>
              </w:rPr>
            </w:pPr>
          </w:p>
        </w:tc>
        <w:tc>
          <w:tcPr>
            <w:tcW w:w="1464" w:type="dxa"/>
            <w:tcBorders>
              <w:top w:val="nil"/>
              <w:left w:val="nil"/>
              <w:bottom w:val="nil"/>
              <w:right w:val="nil"/>
            </w:tcBorders>
            <w:shd w:val="clear" w:color="auto" w:fill="auto"/>
            <w:noWrap/>
          </w:tcPr>
          <w:p w14:paraId="5984B86D" w14:textId="28231D4C" w:rsidR="00524910" w:rsidRPr="004421B2" w:rsidRDefault="009F3B97" w:rsidP="00524910">
            <w:pPr>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w:t>
            </w:r>
            <w:r w:rsidR="00740A73">
              <w:rPr>
                <w:rFonts w:ascii="Arial" w:eastAsia="Times New Roman" w:hAnsi="Arial" w:cs="Arial"/>
                <w:color w:val="000000"/>
                <w:sz w:val="20"/>
                <w:szCs w:val="20"/>
                <w:lang w:eastAsia="en-GB"/>
              </w:rPr>
              <w:t>1</w:t>
            </w:r>
            <w:r>
              <w:rPr>
                <w:rFonts w:ascii="Arial" w:eastAsia="Times New Roman" w:hAnsi="Arial" w:cs="Arial"/>
                <w:color w:val="000000"/>
                <w:sz w:val="20"/>
                <w:szCs w:val="20"/>
                <w:lang w:eastAsia="en-GB"/>
              </w:rPr>
              <w:t>)</w:t>
            </w:r>
          </w:p>
        </w:tc>
        <w:tc>
          <w:tcPr>
            <w:tcW w:w="1465" w:type="dxa"/>
            <w:tcBorders>
              <w:top w:val="nil"/>
              <w:left w:val="nil"/>
              <w:bottom w:val="nil"/>
              <w:right w:val="nil"/>
            </w:tcBorders>
          </w:tcPr>
          <w:p w14:paraId="53A41C7E" w14:textId="3FFD0277" w:rsidR="00524910" w:rsidRPr="004421B2" w:rsidRDefault="00524910" w:rsidP="00524910">
            <w:pPr>
              <w:jc w:val="right"/>
              <w:rPr>
                <w:rFonts w:ascii="Arial" w:eastAsia="Times New Roman" w:hAnsi="Arial" w:cs="Arial"/>
                <w:color w:val="000000"/>
                <w:sz w:val="20"/>
                <w:szCs w:val="20"/>
                <w:lang w:eastAsia="en-GB"/>
              </w:rPr>
            </w:pPr>
            <w:r w:rsidRPr="004421B2">
              <w:rPr>
                <w:rFonts w:ascii="Arial" w:eastAsia="Times New Roman" w:hAnsi="Arial" w:cs="Arial"/>
                <w:color w:val="000000"/>
                <w:sz w:val="20"/>
                <w:szCs w:val="20"/>
                <w:lang w:eastAsia="en-GB"/>
              </w:rPr>
              <w:t>10</w:t>
            </w:r>
            <w:r>
              <w:rPr>
                <w:rFonts w:ascii="Arial" w:eastAsia="Times New Roman" w:hAnsi="Arial" w:cs="Arial"/>
                <w:color w:val="000000"/>
                <w:sz w:val="20"/>
                <w:szCs w:val="20"/>
                <w:lang w:eastAsia="en-GB"/>
              </w:rPr>
              <w:t>0</w:t>
            </w:r>
            <w:r w:rsidRPr="004421B2">
              <w:rPr>
                <w:rFonts w:ascii="Arial" w:eastAsia="Times New Roman" w:hAnsi="Arial" w:cs="Arial"/>
                <w:color w:val="000000"/>
                <w:sz w:val="20"/>
                <w:szCs w:val="20"/>
                <w:lang w:eastAsia="en-GB"/>
              </w:rPr>
              <w:t>.9</w:t>
            </w:r>
          </w:p>
        </w:tc>
        <w:tc>
          <w:tcPr>
            <w:tcW w:w="1465" w:type="dxa"/>
            <w:tcBorders>
              <w:top w:val="nil"/>
              <w:left w:val="nil"/>
              <w:bottom w:val="nil"/>
              <w:right w:val="nil"/>
            </w:tcBorders>
          </w:tcPr>
          <w:p w14:paraId="59E5E104" w14:textId="677981DA" w:rsidR="00524910" w:rsidRPr="0031229D" w:rsidRDefault="00524910" w:rsidP="00524910">
            <w:pPr>
              <w:jc w:val="right"/>
              <w:rPr>
                <w:rFonts w:ascii="Arial" w:eastAsia="Times New Roman" w:hAnsi="Arial" w:cs="Arial"/>
                <w:color w:val="000000"/>
                <w:sz w:val="20"/>
                <w:szCs w:val="20"/>
                <w:lang w:eastAsia="en-GB"/>
              </w:rPr>
            </w:pPr>
            <w:r w:rsidRPr="004F3092">
              <w:rPr>
                <w:rFonts w:ascii="Arial" w:eastAsia="Times New Roman" w:hAnsi="Arial" w:cs="Arial"/>
                <w:color w:val="000000"/>
                <w:sz w:val="20"/>
                <w:szCs w:val="20"/>
                <w:lang w:eastAsia="en-GB"/>
              </w:rPr>
              <w:t>(110.3)</w:t>
            </w:r>
          </w:p>
        </w:tc>
      </w:tr>
      <w:tr w:rsidR="00524910" w:rsidRPr="00DD162A" w14:paraId="52622F0D" w14:textId="77777777" w:rsidTr="00B82B88">
        <w:trPr>
          <w:trHeight w:val="288"/>
        </w:trPr>
        <w:tc>
          <w:tcPr>
            <w:tcW w:w="3969" w:type="dxa"/>
            <w:tcBorders>
              <w:top w:val="nil"/>
              <w:left w:val="nil"/>
              <w:bottom w:val="nil"/>
              <w:right w:val="nil"/>
            </w:tcBorders>
            <w:shd w:val="clear" w:color="auto" w:fill="auto"/>
            <w:noWrap/>
          </w:tcPr>
          <w:p w14:paraId="1E44E9C4" w14:textId="77777777" w:rsidR="00524910" w:rsidRPr="00DD162A" w:rsidRDefault="00524910" w:rsidP="00524910">
            <w:pPr>
              <w:rPr>
                <w:rFonts w:ascii="Arial" w:eastAsia="Times New Roman" w:hAnsi="Arial" w:cs="Arial"/>
                <w:sz w:val="20"/>
                <w:szCs w:val="20"/>
                <w:lang w:eastAsia="en-GB"/>
              </w:rPr>
            </w:pPr>
            <w:r>
              <w:rPr>
                <w:rFonts w:ascii="Arial" w:eastAsia="Times New Roman" w:hAnsi="Arial" w:cs="Arial"/>
                <w:b/>
                <w:bCs/>
                <w:color w:val="000000"/>
                <w:sz w:val="20"/>
                <w:szCs w:val="20"/>
                <w:lang w:eastAsia="en-GB"/>
              </w:rPr>
              <w:t>C</w:t>
            </w:r>
            <w:r w:rsidRPr="00DD162A">
              <w:rPr>
                <w:rFonts w:ascii="Arial" w:eastAsia="Times New Roman" w:hAnsi="Arial" w:cs="Arial"/>
                <w:b/>
                <w:bCs/>
                <w:color w:val="000000"/>
                <w:sz w:val="20"/>
                <w:szCs w:val="20"/>
                <w:lang w:eastAsia="en-GB"/>
              </w:rPr>
              <w:t>omprehensive income attributable to equity holders of the parent company</w:t>
            </w:r>
          </w:p>
        </w:tc>
        <w:tc>
          <w:tcPr>
            <w:tcW w:w="709" w:type="dxa"/>
            <w:tcBorders>
              <w:top w:val="nil"/>
              <w:left w:val="nil"/>
              <w:bottom w:val="nil"/>
              <w:right w:val="nil"/>
            </w:tcBorders>
            <w:shd w:val="clear" w:color="auto" w:fill="auto"/>
            <w:noWrap/>
          </w:tcPr>
          <w:p w14:paraId="54C8D7D2" w14:textId="77777777" w:rsidR="00524910" w:rsidRPr="00DD162A" w:rsidRDefault="00524910" w:rsidP="00524910">
            <w:pPr>
              <w:rPr>
                <w:rFonts w:ascii="Arial" w:eastAsia="Times New Roman" w:hAnsi="Arial" w:cs="Arial"/>
                <w:sz w:val="20"/>
                <w:szCs w:val="20"/>
                <w:lang w:eastAsia="en-GB"/>
              </w:rPr>
            </w:pPr>
          </w:p>
        </w:tc>
        <w:tc>
          <w:tcPr>
            <w:tcW w:w="1464" w:type="dxa"/>
            <w:tcBorders>
              <w:top w:val="nil"/>
              <w:left w:val="nil"/>
              <w:bottom w:val="nil"/>
              <w:right w:val="nil"/>
            </w:tcBorders>
            <w:shd w:val="clear" w:color="auto" w:fill="auto"/>
            <w:noWrap/>
            <w:vAlign w:val="center"/>
          </w:tcPr>
          <w:p w14:paraId="380C8867" w14:textId="2A75109A" w:rsidR="00524910" w:rsidRPr="004421B2" w:rsidRDefault="009F3B97" w:rsidP="00524910">
            <w:pPr>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28,</w:t>
            </w:r>
            <w:r w:rsidR="00740A73">
              <w:rPr>
                <w:rFonts w:ascii="Arial" w:eastAsia="Times New Roman" w:hAnsi="Arial" w:cs="Arial"/>
                <w:b/>
                <w:bCs/>
                <w:color w:val="000000"/>
                <w:sz w:val="20"/>
                <w:szCs w:val="20"/>
                <w:lang w:eastAsia="en-GB"/>
              </w:rPr>
              <w:t>319.0</w:t>
            </w:r>
          </w:p>
        </w:tc>
        <w:tc>
          <w:tcPr>
            <w:tcW w:w="1465" w:type="dxa"/>
            <w:tcBorders>
              <w:top w:val="nil"/>
              <w:left w:val="nil"/>
              <w:bottom w:val="nil"/>
              <w:right w:val="nil"/>
            </w:tcBorders>
            <w:vAlign w:val="center"/>
          </w:tcPr>
          <w:p w14:paraId="53D9AD96" w14:textId="68546878" w:rsidR="00524910" w:rsidRPr="004421B2" w:rsidRDefault="00524910" w:rsidP="00524910">
            <w:pPr>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26,564.7</w:t>
            </w:r>
          </w:p>
        </w:tc>
        <w:tc>
          <w:tcPr>
            <w:tcW w:w="1465" w:type="dxa"/>
            <w:tcBorders>
              <w:top w:val="nil"/>
              <w:left w:val="nil"/>
              <w:bottom w:val="nil"/>
              <w:right w:val="nil"/>
            </w:tcBorders>
            <w:vAlign w:val="center"/>
          </w:tcPr>
          <w:p w14:paraId="60E528FC" w14:textId="31DF972B" w:rsidR="00524910" w:rsidRPr="00524910" w:rsidRDefault="00524910" w:rsidP="00524910">
            <w:pPr>
              <w:jc w:val="right"/>
              <w:rPr>
                <w:rFonts w:ascii="Arial" w:eastAsia="Times New Roman" w:hAnsi="Arial" w:cs="Arial"/>
                <w:b/>
                <w:bCs/>
                <w:color w:val="000000"/>
                <w:sz w:val="20"/>
                <w:szCs w:val="20"/>
                <w:lang w:eastAsia="en-GB"/>
              </w:rPr>
            </w:pPr>
            <w:r w:rsidRPr="00524910">
              <w:rPr>
                <w:rFonts w:ascii="Arial" w:eastAsia="Times New Roman" w:hAnsi="Arial" w:cs="Arial"/>
                <w:b/>
                <w:bCs/>
                <w:sz w:val="20"/>
                <w:szCs w:val="20"/>
                <w:lang w:eastAsia="en-GB"/>
              </w:rPr>
              <w:t>61,665.5</w:t>
            </w:r>
          </w:p>
        </w:tc>
      </w:tr>
      <w:tr w:rsidR="00524910" w:rsidRPr="00DD162A" w14:paraId="4BACF2D7" w14:textId="77777777" w:rsidTr="00B82B88">
        <w:trPr>
          <w:trHeight w:val="288"/>
        </w:trPr>
        <w:tc>
          <w:tcPr>
            <w:tcW w:w="3969" w:type="dxa"/>
            <w:tcBorders>
              <w:top w:val="nil"/>
              <w:left w:val="nil"/>
              <w:bottom w:val="nil"/>
              <w:right w:val="nil"/>
            </w:tcBorders>
            <w:shd w:val="clear" w:color="auto" w:fill="auto"/>
            <w:noWrap/>
          </w:tcPr>
          <w:p w14:paraId="1BB3E7F5" w14:textId="77777777" w:rsidR="00524910" w:rsidRPr="00DD162A" w:rsidRDefault="00524910" w:rsidP="00524910">
            <w:pPr>
              <w:jc w:val="right"/>
              <w:rPr>
                <w:rFonts w:ascii="Arial" w:eastAsia="Times New Roman" w:hAnsi="Arial" w:cs="Arial"/>
                <w:sz w:val="20"/>
                <w:szCs w:val="20"/>
                <w:lang w:eastAsia="en-GB"/>
              </w:rPr>
            </w:pPr>
          </w:p>
        </w:tc>
        <w:tc>
          <w:tcPr>
            <w:tcW w:w="709" w:type="dxa"/>
            <w:tcBorders>
              <w:top w:val="nil"/>
              <w:left w:val="nil"/>
              <w:bottom w:val="nil"/>
              <w:right w:val="nil"/>
            </w:tcBorders>
            <w:shd w:val="clear" w:color="auto" w:fill="auto"/>
            <w:noWrap/>
          </w:tcPr>
          <w:p w14:paraId="5FD65A80" w14:textId="77777777" w:rsidR="00524910" w:rsidRPr="00DD162A" w:rsidRDefault="00524910" w:rsidP="00524910">
            <w:pPr>
              <w:rPr>
                <w:rFonts w:ascii="Arial" w:eastAsia="Times New Roman" w:hAnsi="Arial" w:cs="Arial"/>
                <w:sz w:val="20"/>
                <w:szCs w:val="20"/>
                <w:lang w:eastAsia="en-GB"/>
              </w:rPr>
            </w:pPr>
          </w:p>
        </w:tc>
        <w:tc>
          <w:tcPr>
            <w:tcW w:w="1464" w:type="dxa"/>
            <w:tcBorders>
              <w:top w:val="nil"/>
              <w:left w:val="nil"/>
              <w:bottom w:val="nil"/>
              <w:right w:val="nil"/>
            </w:tcBorders>
            <w:shd w:val="clear" w:color="auto" w:fill="auto"/>
            <w:noWrap/>
          </w:tcPr>
          <w:p w14:paraId="3D5AB8B1" w14:textId="77777777" w:rsidR="00524910" w:rsidRPr="00DD162A" w:rsidRDefault="00524910" w:rsidP="00524910">
            <w:pPr>
              <w:rPr>
                <w:rFonts w:ascii="Arial" w:eastAsia="Times New Roman" w:hAnsi="Arial" w:cs="Arial"/>
                <w:sz w:val="20"/>
                <w:szCs w:val="20"/>
                <w:lang w:eastAsia="en-GB"/>
              </w:rPr>
            </w:pPr>
          </w:p>
        </w:tc>
        <w:tc>
          <w:tcPr>
            <w:tcW w:w="1465" w:type="dxa"/>
            <w:tcBorders>
              <w:top w:val="nil"/>
              <w:left w:val="nil"/>
              <w:bottom w:val="nil"/>
              <w:right w:val="nil"/>
            </w:tcBorders>
          </w:tcPr>
          <w:p w14:paraId="5C6C301F" w14:textId="77777777" w:rsidR="00524910" w:rsidRPr="00DD162A" w:rsidRDefault="00524910" w:rsidP="00524910">
            <w:pPr>
              <w:rPr>
                <w:rFonts w:ascii="Arial" w:eastAsia="Times New Roman" w:hAnsi="Arial" w:cs="Arial"/>
                <w:sz w:val="20"/>
                <w:szCs w:val="20"/>
                <w:lang w:eastAsia="en-GB"/>
              </w:rPr>
            </w:pPr>
          </w:p>
        </w:tc>
        <w:tc>
          <w:tcPr>
            <w:tcW w:w="1465" w:type="dxa"/>
            <w:tcBorders>
              <w:top w:val="nil"/>
              <w:left w:val="nil"/>
              <w:bottom w:val="nil"/>
              <w:right w:val="nil"/>
            </w:tcBorders>
          </w:tcPr>
          <w:p w14:paraId="3D7EFC97" w14:textId="77777777" w:rsidR="00524910" w:rsidRPr="0031229D" w:rsidRDefault="00524910" w:rsidP="00524910">
            <w:pPr>
              <w:jc w:val="right"/>
              <w:rPr>
                <w:rFonts w:ascii="Arial" w:eastAsia="Times New Roman" w:hAnsi="Arial" w:cs="Arial"/>
                <w:color w:val="000000"/>
                <w:sz w:val="20"/>
                <w:szCs w:val="20"/>
                <w:lang w:eastAsia="en-GB"/>
              </w:rPr>
            </w:pPr>
          </w:p>
        </w:tc>
      </w:tr>
      <w:tr w:rsidR="00524910" w:rsidRPr="00DD162A" w14:paraId="0F2E2671" w14:textId="77777777" w:rsidTr="00B82B88">
        <w:trPr>
          <w:trHeight w:val="576"/>
        </w:trPr>
        <w:tc>
          <w:tcPr>
            <w:tcW w:w="3969" w:type="dxa"/>
            <w:tcBorders>
              <w:top w:val="nil"/>
              <w:left w:val="nil"/>
              <w:bottom w:val="nil"/>
              <w:right w:val="nil"/>
            </w:tcBorders>
            <w:shd w:val="clear" w:color="auto" w:fill="auto"/>
            <w:vAlign w:val="center"/>
            <w:hideMark/>
          </w:tcPr>
          <w:p w14:paraId="44ECEE9B" w14:textId="77777777" w:rsidR="00524910" w:rsidRPr="00DD162A" w:rsidRDefault="00524910" w:rsidP="00524910">
            <w:pPr>
              <w:rPr>
                <w:rFonts w:ascii="Arial" w:eastAsia="Times New Roman" w:hAnsi="Arial" w:cs="Arial"/>
                <w:b/>
                <w:bCs/>
                <w:color w:val="000000"/>
                <w:sz w:val="20"/>
                <w:szCs w:val="20"/>
                <w:lang w:eastAsia="en-GB"/>
              </w:rPr>
            </w:pPr>
            <w:r w:rsidRPr="00DD162A">
              <w:rPr>
                <w:rFonts w:ascii="Arial" w:eastAsia="Times New Roman" w:hAnsi="Arial" w:cs="Arial"/>
                <w:b/>
                <w:bCs/>
                <w:color w:val="000000"/>
                <w:sz w:val="20"/>
                <w:szCs w:val="20"/>
                <w:lang w:eastAsia="en-GB"/>
              </w:rPr>
              <w:t>Earning</w:t>
            </w:r>
            <w:r>
              <w:rPr>
                <w:rFonts w:ascii="Arial" w:eastAsia="Times New Roman" w:hAnsi="Arial" w:cs="Arial"/>
                <w:b/>
                <w:bCs/>
                <w:color w:val="000000"/>
                <w:sz w:val="20"/>
                <w:szCs w:val="20"/>
                <w:lang w:eastAsia="en-GB"/>
              </w:rPr>
              <w:t>s per share for profit</w:t>
            </w:r>
            <w:r w:rsidRPr="00DD162A">
              <w:rPr>
                <w:rFonts w:ascii="Arial" w:eastAsia="Times New Roman" w:hAnsi="Arial" w:cs="Arial"/>
                <w:b/>
                <w:bCs/>
                <w:color w:val="000000"/>
                <w:sz w:val="20"/>
                <w:szCs w:val="20"/>
                <w:lang w:eastAsia="en-GB"/>
              </w:rPr>
              <w:t xml:space="preserve"> attributable to the owners of the parent during the year</w:t>
            </w:r>
          </w:p>
        </w:tc>
        <w:tc>
          <w:tcPr>
            <w:tcW w:w="709" w:type="dxa"/>
            <w:tcBorders>
              <w:top w:val="nil"/>
              <w:left w:val="nil"/>
              <w:bottom w:val="nil"/>
              <w:right w:val="nil"/>
            </w:tcBorders>
            <w:shd w:val="clear" w:color="auto" w:fill="auto"/>
            <w:noWrap/>
            <w:hideMark/>
          </w:tcPr>
          <w:p w14:paraId="508A9B9B" w14:textId="77777777" w:rsidR="00524910" w:rsidRPr="00DD162A" w:rsidRDefault="00524910" w:rsidP="00524910">
            <w:pPr>
              <w:rPr>
                <w:rFonts w:ascii="Arial" w:eastAsia="Times New Roman" w:hAnsi="Arial" w:cs="Arial"/>
                <w:b/>
                <w:bCs/>
                <w:color w:val="000000"/>
                <w:sz w:val="20"/>
                <w:szCs w:val="20"/>
                <w:lang w:eastAsia="en-GB"/>
              </w:rPr>
            </w:pPr>
          </w:p>
        </w:tc>
        <w:tc>
          <w:tcPr>
            <w:tcW w:w="1464" w:type="dxa"/>
            <w:tcBorders>
              <w:top w:val="nil"/>
              <w:left w:val="nil"/>
              <w:bottom w:val="nil"/>
              <w:right w:val="nil"/>
            </w:tcBorders>
            <w:shd w:val="clear" w:color="auto" w:fill="auto"/>
            <w:noWrap/>
          </w:tcPr>
          <w:p w14:paraId="70806757" w14:textId="77777777" w:rsidR="00524910" w:rsidRPr="00DD162A" w:rsidRDefault="00524910" w:rsidP="00524910">
            <w:pPr>
              <w:rPr>
                <w:rFonts w:ascii="Arial" w:eastAsia="Times New Roman" w:hAnsi="Arial" w:cs="Arial"/>
                <w:sz w:val="20"/>
                <w:szCs w:val="20"/>
                <w:lang w:eastAsia="en-GB"/>
              </w:rPr>
            </w:pPr>
          </w:p>
        </w:tc>
        <w:tc>
          <w:tcPr>
            <w:tcW w:w="1465" w:type="dxa"/>
            <w:tcBorders>
              <w:top w:val="nil"/>
              <w:left w:val="nil"/>
              <w:bottom w:val="nil"/>
              <w:right w:val="nil"/>
            </w:tcBorders>
          </w:tcPr>
          <w:p w14:paraId="0909733D" w14:textId="77777777" w:rsidR="00524910" w:rsidRPr="00DD162A" w:rsidRDefault="00524910" w:rsidP="00524910">
            <w:pPr>
              <w:rPr>
                <w:rFonts w:ascii="Arial" w:eastAsia="Times New Roman" w:hAnsi="Arial" w:cs="Arial"/>
                <w:sz w:val="20"/>
                <w:szCs w:val="20"/>
                <w:lang w:eastAsia="en-GB"/>
              </w:rPr>
            </w:pPr>
          </w:p>
        </w:tc>
        <w:tc>
          <w:tcPr>
            <w:tcW w:w="1465" w:type="dxa"/>
            <w:tcBorders>
              <w:top w:val="nil"/>
              <w:left w:val="nil"/>
              <w:bottom w:val="nil"/>
              <w:right w:val="nil"/>
            </w:tcBorders>
          </w:tcPr>
          <w:p w14:paraId="4A969DBD" w14:textId="77777777" w:rsidR="00524910" w:rsidRPr="0031229D" w:rsidRDefault="00524910" w:rsidP="00524910">
            <w:pPr>
              <w:jc w:val="right"/>
              <w:rPr>
                <w:rFonts w:ascii="Arial" w:eastAsia="Times New Roman" w:hAnsi="Arial" w:cs="Arial"/>
                <w:color w:val="000000"/>
                <w:sz w:val="20"/>
                <w:szCs w:val="20"/>
                <w:lang w:eastAsia="en-GB"/>
              </w:rPr>
            </w:pPr>
          </w:p>
        </w:tc>
      </w:tr>
      <w:tr w:rsidR="00524910" w:rsidRPr="00DD162A" w14:paraId="5B0362B3" w14:textId="77777777" w:rsidTr="00B82B88">
        <w:trPr>
          <w:trHeight w:val="288"/>
        </w:trPr>
        <w:tc>
          <w:tcPr>
            <w:tcW w:w="3969" w:type="dxa"/>
            <w:tcBorders>
              <w:top w:val="nil"/>
              <w:left w:val="nil"/>
              <w:bottom w:val="nil"/>
              <w:right w:val="nil"/>
            </w:tcBorders>
            <w:shd w:val="clear" w:color="auto" w:fill="auto"/>
            <w:noWrap/>
            <w:vAlign w:val="center"/>
            <w:hideMark/>
          </w:tcPr>
          <w:p w14:paraId="78857B2A" w14:textId="77777777" w:rsidR="00524910" w:rsidRPr="00DD162A" w:rsidRDefault="00524910" w:rsidP="00524910">
            <w:pPr>
              <w:rPr>
                <w:rFonts w:ascii="Arial" w:eastAsia="Times New Roman" w:hAnsi="Arial" w:cs="Arial"/>
                <w:color w:val="000000"/>
                <w:sz w:val="20"/>
                <w:szCs w:val="20"/>
                <w:lang w:eastAsia="en-GB"/>
              </w:rPr>
            </w:pPr>
            <w:r w:rsidRPr="00DD162A">
              <w:rPr>
                <w:rFonts w:ascii="Arial" w:eastAsia="Times New Roman" w:hAnsi="Arial" w:cs="Arial"/>
                <w:color w:val="000000"/>
                <w:sz w:val="20"/>
                <w:szCs w:val="20"/>
                <w:lang w:eastAsia="en-GB"/>
              </w:rPr>
              <w:t>Basic (pence)</w:t>
            </w:r>
          </w:p>
        </w:tc>
        <w:tc>
          <w:tcPr>
            <w:tcW w:w="709" w:type="dxa"/>
            <w:tcBorders>
              <w:top w:val="nil"/>
              <w:left w:val="nil"/>
              <w:bottom w:val="nil"/>
              <w:right w:val="nil"/>
            </w:tcBorders>
            <w:shd w:val="clear" w:color="auto" w:fill="auto"/>
            <w:noWrap/>
            <w:vAlign w:val="center"/>
            <w:hideMark/>
          </w:tcPr>
          <w:p w14:paraId="33D2EA5A" w14:textId="77777777" w:rsidR="00524910" w:rsidRPr="00DD162A" w:rsidRDefault="00524910" w:rsidP="00524910">
            <w:pPr>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w:t>
            </w:r>
          </w:p>
        </w:tc>
        <w:tc>
          <w:tcPr>
            <w:tcW w:w="1464" w:type="dxa"/>
            <w:tcBorders>
              <w:top w:val="nil"/>
              <w:left w:val="nil"/>
              <w:bottom w:val="nil"/>
              <w:right w:val="nil"/>
            </w:tcBorders>
            <w:shd w:val="clear" w:color="auto" w:fill="auto"/>
            <w:noWrap/>
            <w:vAlign w:val="center"/>
          </w:tcPr>
          <w:p w14:paraId="3D754E58" w14:textId="2923065E" w:rsidR="00524910" w:rsidRPr="00AE07D6" w:rsidRDefault="006D6357" w:rsidP="00524910">
            <w:pPr>
              <w:jc w:val="right"/>
              <w:rPr>
                <w:rFonts w:ascii="Arial" w:eastAsia="Times New Roman" w:hAnsi="Arial" w:cs="Arial"/>
                <w:color w:val="000000"/>
                <w:sz w:val="20"/>
                <w:szCs w:val="20"/>
                <w:lang w:eastAsia="en-GB"/>
              </w:rPr>
            </w:pPr>
            <w:r w:rsidRPr="00AE07D6">
              <w:rPr>
                <w:rFonts w:ascii="Arial" w:eastAsia="Times New Roman" w:hAnsi="Arial" w:cs="Arial"/>
                <w:color w:val="000000"/>
                <w:sz w:val="20"/>
                <w:szCs w:val="20"/>
                <w:lang w:eastAsia="en-GB"/>
              </w:rPr>
              <w:t>24.39</w:t>
            </w:r>
          </w:p>
        </w:tc>
        <w:tc>
          <w:tcPr>
            <w:tcW w:w="1465" w:type="dxa"/>
            <w:tcBorders>
              <w:top w:val="nil"/>
              <w:left w:val="nil"/>
              <w:bottom w:val="nil"/>
              <w:right w:val="nil"/>
            </w:tcBorders>
            <w:vAlign w:val="center"/>
          </w:tcPr>
          <w:p w14:paraId="584B6307" w14:textId="0938AA40" w:rsidR="00524910" w:rsidRPr="004206D3" w:rsidRDefault="00524910" w:rsidP="00524910">
            <w:pPr>
              <w:jc w:val="right"/>
              <w:rPr>
                <w:rFonts w:ascii="Arial" w:eastAsia="Times New Roman" w:hAnsi="Arial" w:cs="Arial"/>
                <w:color w:val="000000"/>
                <w:sz w:val="20"/>
                <w:szCs w:val="20"/>
                <w:lang w:eastAsia="en-GB"/>
              </w:rPr>
            </w:pPr>
            <w:r w:rsidRPr="00D05398">
              <w:rPr>
                <w:rFonts w:ascii="Arial" w:eastAsia="Times New Roman" w:hAnsi="Arial" w:cs="Arial"/>
                <w:color w:val="000000"/>
                <w:sz w:val="20"/>
                <w:szCs w:val="20"/>
                <w:lang w:eastAsia="en-GB"/>
              </w:rPr>
              <w:t>22.91</w:t>
            </w:r>
          </w:p>
        </w:tc>
        <w:tc>
          <w:tcPr>
            <w:tcW w:w="1465" w:type="dxa"/>
            <w:tcBorders>
              <w:top w:val="nil"/>
              <w:left w:val="nil"/>
              <w:bottom w:val="nil"/>
              <w:right w:val="nil"/>
            </w:tcBorders>
            <w:vAlign w:val="center"/>
          </w:tcPr>
          <w:p w14:paraId="5F22F44F" w14:textId="286C6B24" w:rsidR="00524910" w:rsidRPr="0031229D" w:rsidRDefault="00524910" w:rsidP="00524910">
            <w:pPr>
              <w:jc w:val="right"/>
              <w:rPr>
                <w:rFonts w:ascii="Arial" w:eastAsia="Times New Roman" w:hAnsi="Arial" w:cs="Arial"/>
                <w:color w:val="000000"/>
                <w:sz w:val="20"/>
                <w:szCs w:val="20"/>
                <w:lang w:eastAsia="en-GB"/>
              </w:rPr>
            </w:pPr>
            <w:r w:rsidRPr="004F3092">
              <w:rPr>
                <w:rFonts w:ascii="Arial" w:eastAsia="Times New Roman" w:hAnsi="Arial" w:cs="Arial"/>
                <w:color w:val="000000"/>
                <w:sz w:val="20"/>
                <w:szCs w:val="20"/>
                <w:lang w:eastAsia="en-GB"/>
              </w:rPr>
              <w:t>53.38</w:t>
            </w:r>
          </w:p>
        </w:tc>
      </w:tr>
      <w:tr w:rsidR="00524910" w:rsidRPr="00DD162A" w14:paraId="7420B0CD" w14:textId="77777777" w:rsidTr="00B82B88">
        <w:trPr>
          <w:trHeight w:val="288"/>
        </w:trPr>
        <w:tc>
          <w:tcPr>
            <w:tcW w:w="3969" w:type="dxa"/>
            <w:tcBorders>
              <w:top w:val="nil"/>
              <w:left w:val="nil"/>
              <w:bottom w:val="nil"/>
              <w:right w:val="nil"/>
            </w:tcBorders>
            <w:shd w:val="clear" w:color="auto" w:fill="auto"/>
            <w:noWrap/>
            <w:vAlign w:val="center"/>
          </w:tcPr>
          <w:p w14:paraId="2BEE4B5D" w14:textId="77777777" w:rsidR="00524910" w:rsidRPr="00DD162A" w:rsidRDefault="00524910" w:rsidP="00524910">
            <w:pPr>
              <w:rPr>
                <w:rFonts w:ascii="Arial" w:eastAsia="Times New Roman" w:hAnsi="Arial" w:cs="Arial"/>
                <w:color w:val="000000"/>
                <w:sz w:val="20"/>
                <w:szCs w:val="20"/>
                <w:lang w:eastAsia="en-GB"/>
              </w:rPr>
            </w:pPr>
            <w:r w:rsidRPr="00DD162A">
              <w:rPr>
                <w:rFonts w:ascii="Arial" w:eastAsia="Times New Roman" w:hAnsi="Arial" w:cs="Arial"/>
                <w:color w:val="000000"/>
                <w:sz w:val="20"/>
                <w:szCs w:val="20"/>
                <w:lang w:eastAsia="en-GB"/>
              </w:rPr>
              <w:t xml:space="preserve">Diluted (pence) </w:t>
            </w:r>
          </w:p>
        </w:tc>
        <w:tc>
          <w:tcPr>
            <w:tcW w:w="709" w:type="dxa"/>
            <w:tcBorders>
              <w:top w:val="nil"/>
              <w:left w:val="nil"/>
              <w:bottom w:val="nil"/>
              <w:right w:val="nil"/>
            </w:tcBorders>
            <w:shd w:val="clear" w:color="auto" w:fill="auto"/>
            <w:noWrap/>
            <w:vAlign w:val="center"/>
          </w:tcPr>
          <w:p w14:paraId="6FCDFC8F" w14:textId="77777777" w:rsidR="00524910" w:rsidRPr="00DD162A" w:rsidRDefault="00524910" w:rsidP="00524910">
            <w:pPr>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w:t>
            </w:r>
          </w:p>
        </w:tc>
        <w:tc>
          <w:tcPr>
            <w:tcW w:w="1464" w:type="dxa"/>
            <w:tcBorders>
              <w:top w:val="nil"/>
              <w:left w:val="nil"/>
              <w:bottom w:val="nil"/>
              <w:right w:val="nil"/>
            </w:tcBorders>
            <w:shd w:val="clear" w:color="auto" w:fill="auto"/>
            <w:noWrap/>
            <w:vAlign w:val="center"/>
          </w:tcPr>
          <w:p w14:paraId="4C5EE89E" w14:textId="0839F7DA" w:rsidR="00524910" w:rsidRPr="00AE07D6" w:rsidRDefault="006D6357" w:rsidP="00524910">
            <w:pPr>
              <w:jc w:val="right"/>
              <w:rPr>
                <w:rFonts w:ascii="Arial" w:eastAsia="Times New Roman" w:hAnsi="Arial" w:cs="Arial"/>
                <w:color w:val="000000"/>
                <w:sz w:val="20"/>
                <w:szCs w:val="20"/>
                <w:lang w:eastAsia="en-GB"/>
              </w:rPr>
            </w:pPr>
            <w:r w:rsidRPr="00AE07D6">
              <w:rPr>
                <w:rFonts w:ascii="Arial" w:eastAsia="Times New Roman" w:hAnsi="Arial" w:cs="Arial"/>
                <w:color w:val="000000"/>
                <w:sz w:val="20"/>
                <w:szCs w:val="20"/>
                <w:lang w:eastAsia="en-GB"/>
              </w:rPr>
              <w:t>24.3</w:t>
            </w:r>
            <w:r w:rsidR="00AE07D6" w:rsidRPr="00AE07D6">
              <w:rPr>
                <w:rFonts w:ascii="Arial" w:eastAsia="Times New Roman" w:hAnsi="Arial" w:cs="Arial"/>
                <w:color w:val="000000"/>
                <w:sz w:val="20"/>
                <w:szCs w:val="20"/>
                <w:lang w:eastAsia="en-GB"/>
              </w:rPr>
              <w:t>0</w:t>
            </w:r>
          </w:p>
        </w:tc>
        <w:tc>
          <w:tcPr>
            <w:tcW w:w="1465" w:type="dxa"/>
            <w:tcBorders>
              <w:top w:val="nil"/>
              <w:left w:val="nil"/>
              <w:bottom w:val="nil"/>
              <w:right w:val="nil"/>
            </w:tcBorders>
            <w:vAlign w:val="center"/>
          </w:tcPr>
          <w:p w14:paraId="700EDA2D" w14:textId="5DE806E1" w:rsidR="00524910" w:rsidRPr="004206D3" w:rsidRDefault="00524910" w:rsidP="00524910">
            <w:pPr>
              <w:jc w:val="right"/>
              <w:rPr>
                <w:rFonts w:ascii="Arial" w:eastAsia="Times New Roman" w:hAnsi="Arial" w:cs="Arial"/>
                <w:color w:val="000000"/>
                <w:sz w:val="20"/>
                <w:szCs w:val="20"/>
                <w:lang w:eastAsia="en-GB"/>
              </w:rPr>
            </w:pPr>
            <w:r w:rsidRPr="00D05398">
              <w:rPr>
                <w:rFonts w:ascii="Arial" w:eastAsia="Times New Roman" w:hAnsi="Arial" w:cs="Arial"/>
                <w:color w:val="000000"/>
                <w:sz w:val="20"/>
                <w:szCs w:val="20"/>
                <w:lang w:eastAsia="en-GB"/>
              </w:rPr>
              <w:t>22.72</w:t>
            </w:r>
          </w:p>
        </w:tc>
        <w:tc>
          <w:tcPr>
            <w:tcW w:w="1465" w:type="dxa"/>
            <w:tcBorders>
              <w:top w:val="nil"/>
              <w:left w:val="nil"/>
              <w:bottom w:val="nil"/>
              <w:right w:val="nil"/>
            </w:tcBorders>
            <w:vAlign w:val="center"/>
          </w:tcPr>
          <w:p w14:paraId="04D4D5F4" w14:textId="62571659" w:rsidR="00524910" w:rsidRPr="0031229D" w:rsidRDefault="00524910" w:rsidP="00524910">
            <w:pPr>
              <w:jc w:val="right"/>
              <w:rPr>
                <w:rFonts w:ascii="Arial" w:eastAsia="Times New Roman" w:hAnsi="Arial" w:cs="Arial"/>
                <w:color w:val="000000"/>
                <w:sz w:val="20"/>
                <w:szCs w:val="20"/>
                <w:lang w:eastAsia="en-GB"/>
              </w:rPr>
            </w:pPr>
            <w:r w:rsidRPr="004F3092">
              <w:rPr>
                <w:rFonts w:ascii="Arial" w:eastAsia="Times New Roman" w:hAnsi="Arial" w:cs="Arial"/>
                <w:color w:val="000000"/>
                <w:sz w:val="20"/>
                <w:szCs w:val="20"/>
                <w:lang w:eastAsia="en-GB"/>
              </w:rPr>
              <w:t>53.19</w:t>
            </w:r>
          </w:p>
        </w:tc>
      </w:tr>
      <w:tr w:rsidR="00524910" w:rsidRPr="00DD162A" w14:paraId="47A84F02" w14:textId="77777777" w:rsidTr="00B82B88">
        <w:trPr>
          <w:trHeight w:val="87"/>
        </w:trPr>
        <w:tc>
          <w:tcPr>
            <w:tcW w:w="3969" w:type="dxa"/>
            <w:tcBorders>
              <w:top w:val="nil"/>
              <w:left w:val="nil"/>
              <w:bottom w:val="nil"/>
              <w:right w:val="nil"/>
            </w:tcBorders>
            <w:shd w:val="clear" w:color="auto" w:fill="auto"/>
            <w:noWrap/>
            <w:vAlign w:val="bottom"/>
            <w:hideMark/>
          </w:tcPr>
          <w:p w14:paraId="252BAD66" w14:textId="25A6C917" w:rsidR="00524910" w:rsidRPr="00DD162A" w:rsidRDefault="00524910" w:rsidP="00524910">
            <w:pPr>
              <w:jc w:val="right"/>
              <w:rPr>
                <w:rFonts w:ascii="Arial" w:eastAsia="Times New Roman" w:hAnsi="Arial" w:cs="Arial"/>
                <w:color w:val="000000"/>
                <w:sz w:val="20"/>
                <w:szCs w:val="20"/>
                <w:lang w:eastAsia="en-GB"/>
              </w:rPr>
            </w:pPr>
          </w:p>
        </w:tc>
        <w:tc>
          <w:tcPr>
            <w:tcW w:w="709" w:type="dxa"/>
            <w:tcBorders>
              <w:top w:val="nil"/>
              <w:left w:val="nil"/>
              <w:bottom w:val="nil"/>
              <w:right w:val="nil"/>
            </w:tcBorders>
            <w:shd w:val="clear" w:color="auto" w:fill="auto"/>
            <w:noWrap/>
            <w:hideMark/>
          </w:tcPr>
          <w:p w14:paraId="17A7DE86" w14:textId="77777777" w:rsidR="00524910" w:rsidRPr="00DD162A" w:rsidRDefault="00524910" w:rsidP="00524910">
            <w:pPr>
              <w:rPr>
                <w:rFonts w:ascii="Arial" w:eastAsia="Times New Roman" w:hAnsi="Arial" w:cs="Arial"/>
                <w:sz w:val="20"/>
                <w:szCs w:val="20"/>
                <w:lang w:eastAsia="en-GB"/>
              </w:rPr>
            </w:pPr>
          </w:p>
        </w:tc>
        <w:tc>
          <w:tcPr>
            <w:tcW w:w="1464" w:type="dxa"/>
            <w:tcBorders>
              <w:top w:val="nil"/>
              <w:left w:val="nil"/>
              <w:bottom w:val="single" w:sz="8" w:space="0" w:color="auto"/>
              <w:right w:val="nil"/>
            </w:tcBorders>
            <w:shd w:val="clear" w:color="auto" w:fill="auto"/>
            <w:noWrap/>
            <w:hideMark/>
          </w:tcPr>
          <w:p w14:paraId="1E108490" w14:textId="77777777" w:rsidR="00524910" w:rsidRPr="00DD162A" w:rsidRDefault="00524910" w:rsidP="00524910">
            <w:pPr>
              <w:rPr>
                <w:rFonts w:ascii="Arial" w:eastAsia="Times New Roman" w:hAnsi="Arial" w:cs="Arial"/>
                <w:color w:val="000000"/>
                <w:sz w:val="20"/>
                <w:szCs w:val="20"/>
                <w:lang w:eastAsia="en-GB"/>
              </w:rPr>
            </w:pPr>
            <w:r w:rsidRPr="00DD162A">
              <w:rPr>
                <w:rFonts w:ascii="Arial" w:eastAsia="Times New Roman" w:hAnsi="Arial" w:cs="Arial"/>
                <w:color w:val="000000"/>
                <w:sz w:val="20"/>
                <w:szCs w:val="20"/>
                <w:lang w:eastAsia="en-GB"/>
              </w:rPr>
              <w:t> </w:t>
            </w:r>
          </w:p>
        </w:tc>
        <w:tc>
          <w:tcPr>
            <w:tcW w:w="1465" w:type="dxa"/>
            <w:tcBorders>
              <w:top w:val="nil"/>
              <w:left w:val="nil"/>
              <w:bottom w:val="single" w:sz="8" w:space="0" w:color="auto"/>
              <w:right w:val="nil"/>
            </w:tcBorders>
          </w:tcPr>
          <w:p w14:paraId="7ABA3F88" w14:textId="77777777" w:rsidR="00524910" w:rsidRPr="00DD162A" w:rsidRDefault="00524910" w:rsidP="00524910">
            <w:pPr>
              <w:rPr>
                <w:rFonts w:ascii="Arial" w:eastAsia="Times New Roman" w:hAnsi="Arial" w:cs="Arial"/>
                <w:color w:val="000000"/>
                <w:sz w:val="20"/>
                <w:szCs w:val="20"/>
                <w:lang w:eastAsia="en-GB"/>
              </w:rPr>
            </w:pPr>
          </w:p>
        </w:tc>
        <w:tc>
          <w:tcPr>
            <w:tcW w:w="1465" w:type="dxa"/>
            <w:tcBorders>
              <w:top w:val="nil"/>
              <w:left w:val="nil"/>
              <w:bottom w:val="single" w:sz="8" w:space="0" w:color="auto"/>
              <w:right w:val="nil"/>
            </w:tcBorders>
          </w:tcPr>
          <w:p w14:paraId="56243F96" w14:textId="77777777" w:rsidR="00524910" w:rsidRPr="00DD162A" w:rsidRDefault="00524910" w:rsidP="00524910">
            <w:pPr>
              <w:rPr>
                <w:rFonts w:ascii="Arial" w:eastAsia="Times New Roman" w:hAnsi="Arial" w:cs="Arial"/>
                <w:color w:val="000000"/>
                <w:sz w:val="20"/>
                <w:szCs w:val="20"/>
                <w:lang w:eastAsia="en-GB"/>
              </w:rPr>
            </w:pPr>
            <w:r w:rsidRPr="00DD162A">
              <w:rPr>
                <w:rFonts w:ascii="Arial" w:eastAsia="Times New Roman" w:hAnsi="Arial" w:cs="Arial"/>
                <w:color w:val="000000"/>
                <w:sz w:val="20"/>
                <w:szCs w:val="20"/>
                <w:lang w:eastAsia="en-GB"/>
              </w:rPr>
              <w:t> </w:t>
            </w:r>
          </w:p>
        </w:tc>
      </w:tr>
    </w:tbl>
    <w:p w14:paraId="5A17750F" w14:textId="7753B6F5" w:rsidR="000F7919" w:rsidRPr="00DD162A" w:rsidRDefault="000F7919" w:rsidP="000F7919">
      <w:pPr>
        <w:ind w:left="142"/>
        <w:jc w:val="both"/>
        <w:rPr>
          <w:rFonts w:ascii="Arial" w:hAnsi="Arial" w:cs="Arial"/>
          <w:b/>
          <w:sz w:val="20"/>
          <w:szCs w:val="20"/>
        </w:rPr>
      </w:pPr>
      <w:r w:rsidRPr="00DD162A">
        <w:rPr>
          <w:rFonts w:ascii="Arial" w:hAnsi="Arial" w:cs="Arial"/>
          <w:b/>
          <w:sz w:val="20"/>
          <w:szCs w:val="20"/>
        </w:rPr>
        <w:t>Consolidated statement of financial position</w:t>
      </w:r>
    </w:p>
    <w:p w14:paraId="1C134237" w14:textId="2EE8B1C2" w:rsidR="00937E66" w:rsidRDefault="000F7919" w:rsidP="000F7919">
      <w:pPr>
        <w:ind w:left="142"/>
        <w:jc w:val="both"/>
        <w:rPr>
          <w:rFonts w:ascii="Arial" w:hAnsi="Arial" w:cs="Arial"/>
          <w:b/>
          <w:sz w:val="20"/>
          <w:szCs w:val="20"/>
        </w:rPr>
        <w:sectPr w:rsidR="00937E66" w:rsidSect="00B82B88">
          <w:footerReference w:type="default" r:id="rId9"/>
          <w:pgSz w:w="11900" w:h="16840"/>
          <w:pgMar w:top="1440" w:right="1440" w:bottom="1440" w:left="1440" w:header="708" w:footer="708" w:gutter="0"/>
          <w:cols w:space="720"/>
          <w:docGrid w:linePitch="326"/>
        </w:sectPr>
      </w:pPr>
      <w:r w:rsidRPr="00DD162A">
        <w:rPr>
          <w:rFonts w:ascii="Arial" w:hAnsi="Arial" w:cs="Arial"/>
          <w:b/>
          <w:sz w:val="20"/>
          <w:szCs w:val="20"/>
        </w:rPr>
        <w:t>30 June 201</w:t>
      </w:r>
      <w:r w:rsidR="00641C89">
        <w:rPr>
          <w:rFonts w:ascii="Arial" w:hAnsi="Arial" w:cs="Arial"/>
          <w:b/>
          <w:sz w:val="20"/>
          <w:szCs w:val="20"/>
        </w:rPr>
        <w:t>9</w:t>
      </w:r>
    </w:p>
    <w:tbl>
      <w:tblPr>
        <w:tblW w:w="9106" w:type="dxa"/>
        <w:tblInd w:w="108" w:type="dxa"/>
        <w:tblLayout w:type="fixed"/>
        <w:tblLook w:val="04A0" w:firstRow="1" w:lastRow="0" w:firstColumn="1" w:lastColumn="0" w:noHBand="0" w:noVBand="1"/>
      </w:tblPr>
      <w:tblGrid>
        <w:gridCol w:w="4287"/>
        <w:gridCol w:w="708"/>
        <w:gridCol w:w="1370"/>
        <w:gridCol w:w="1370"/>
        <w:gridCol w:w="1371"/>
      </w:tblGrid>
      <w:tr w:rsidR="00150D5C" w:rsidRPr="00DD162A" w14:paraId="4C0A31E4" w14:textId="77777777" w:rsidTr="00B82B88">
        <w:trPr>
          <w:trHeight w:val="288"/>
        </w:trPr>
        <w:tc>
          <w:tcPr>
            <w:tcW w:w="4287" w:type="dxa"/>
            <w:tcBorders>
              <w:top w:val="nil"/>
              <w:left w:val="nil"/>
              <w:bottom w:val="nil"/>
              <w:right w:val="nil"/>
            </w:tcBorders>
            <w:shd w:val="clear" w:color="auto" w:fill="auto"/>
            <w:noWrap/>
            <w:vAlign w:val="bottom"/>
            <w:hideMark/>
          </w:tcPr>
          <w:p w14:paraId="4BBA3122" w14:textId="77777777" w:rsidR="00150D5C" w:rsidRPr="00DD162A" w:rsidRDefault="00150D5C" w:rsidP="000F7919">
            <w:pPr>
              <w:rPr>
                <w:rFonts w:ascii="Arial" w:eastAsia="Times New Roman" w:hAnsi="Arial" w:cs="Arial"/>
                <w:sz w:val="20"/>
                <w:szCs w:val="20"/>
                <w:lang w:eastAsia="en-GB"/>
              </w:rPr>
            </w:pPr>
          </w:p>
        </w:tc>
        <w:tc>
          <w:tcPr>
            <w:tcW w:w="708" w:type="dxa"/>
            <w:tcBorders>
              <w:top w:val="nil"/>
              <w:left w:val="nil"/>
              <w:bottom w:val="nil"/>
              <w:right w:val="nil"/>
            </w:tcBorders>
            <w:shd w:val="clear" w:color="auto" w:fill="auto"/>
            <w:noWrap/>
            <w:vAlign w:val="bottom"/>
            <w:hideMark/>
          </w:tcPr>
          <w:p w14:paraId="40FBB05B" w14:textId="77777777" w:rsidR="00150D5C" w:rsidRPr="00DD162A" w:rsidRDefault="00150D5C" w:rsidP="000F7919">
            <w:pPr>
              <w:rPr>
                <w:rFonts w:ascii="Arial" w:eastAsia="Times New Roman" w:hAnsi="Arial" w:cs="Arial"/>
                <w:sz w:val="20"/>
                <w:szCs w:val="20"/>
                <w:lang w:eastAsia="en-GB"/>
              </w:rPr>
            </w:pPr>
          </w:p>
        </w:tc>
        <w:tc>
          <w:tcPr>
            <w:tcW w:w="1370" w:type="dxa"/>
            <w:tcBorders>
              <w:top w:val="nil"/>
              <w:left w:val="nil"/>
              <w:bottom w:val="nil"/>
              <w:right w:val="nil"/>
            </w:tcBorders>
            <w:vAlign w:val="center"/>
          </w:tcPr>
          <w:p w14:paraId="34D9FE7E" w14:textId="143290E3" w:rsidR="00150D5C" w:rsidRDefault="00150D5C" w:rsidP="000F7919">
            <w:pPr>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Unaudited</w:t>
            </w:r>
          </w:p>
          <w:p w14:paraId="12A96615" w14:textId="6D56C53F" w:rsidR="00150D5C" w:rsidRPr="00DD162A" w:rsidRDefault="00150D5C" w:rsidP="000F7919">
            <w:pPr>
              <w:jc w:val="right"/>
              <w:rPr>
                <w:rFonts w:ascii="Arial" w:eastAsia="Times New Roman" w:hAnsi="Arial" w:cs="Arial"/>
                <w:b/>
                <w:bCs/>
                <w:color w:val="000000"/>
                <w:sz w:val="20"/>
                <w:szCs w:val="20"/>
                <w:lang w:eastAsia="en-GB"/>
              </w:rPr>
            </w:pPr>
            <w:r w:rsidRPr="00DD162A">
              <w:rPr>
                <w:rFonts w:ascii="Arial" w:eastAsia="Times New Roman" w:hAnsi="Arial" w:cs="Arial"/>
                <w:b/>
                <w:bCs/>
                <w:color w:val="000000"/>
                <w:sz w:val="20"/>
                <w:szCs w:val="20"/>
                <w:lang w:eastAsia="en-GB"/>
              </w:rPr>
              <w:t>30 June</w:t>
            </w:r>
          </w:p>
        </w:tc>
        <w:tc>
          <w:tcPr>
            <w:tcW w:w="1370" w:type="dxa"/>
            <w:tcBorders>
              <w:top w:val="nil"/>
              <w:left w:val="nil"/>
              <w:bottom w:val="nil"/>
              <w:right w:val="nil"/>
            </w:tcBorders>
            <w:shd w:val="clear" w:color="auto" w:fill="auto"/>
            <w:noWrap/>
            <w:vAlign w:val="center"/>
            <w:hideMark/>
          </w:tcPr>
          <w:p w14:paraId="0CA97F75" w14:textId="551DF4EB" w:rsidR="00150D5C" w:rsidRDefault="00150D5C" w:rsidP="000F7919">
            <w:pPr>
              <w:ind w:right="-107"/>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Unaudited</w:t>
            </w:r>
          </w:p>
          <w:p w14:paraId="07BDF100" w14:textId="72ED1773" w:rsidR="00150D5C" w:rsidRPr="00DD162A" w:rsidRDefault="00150D5C" w:rsidP="000F7919">
            <w:pPr>
              <w:ind w:right="-107"/>
              <w:jc w:val="right"/>
              <w:rPr>
                <w:rFonts w:ascii="Arial" w:eastAsia="Times New Roman" w:hAnsi="Arial" w:cs="Arial"/>
                <w:b/>
                <w:bCs/>
                <w:color w:val="000000"/>
                <w:sz w:val="20"/>
                <w:szCs w:val="20"/>
                <w:lang w:eastAsia="en-GB"/>
              </w:rPr>
            </w:pPr>
            <w:r w:rsidRPr="00DD162A">
              <w:rPr>
                <w:rFonts w:ascii="Arial" w:eastAsia="Times New Roman" w:hAnsi="Arial" w:cs="Arial"/>
                <w:b/>
                <w:bCs/>
                <w:color w:val="000000"/>
                <w:sz w:val="20"/>
                <w:szCs w:val="20"/>
                <w:lang w:eastAsia="en-GB"/>
              </w:rPr>
              <w:t>30 June</w:t>
            </w:r>
          </w:p>
        </w:tc>
        <w:tc>
          <w:tcPr>
            <w:tcW w:w="1371" w:type="dxa"/>
            <w:tcBorders>
              <w:top w:val="nil"/>
              <w:left w:val="nil"/>
              <w:bottom w:val="nil"/>
              <w:right w:val="nil"/>
            </w:tcBorders>
            <w:vAlign w:val="center"/>
          </w:tcPr>
          <w:p w14:paraId="1C43A415" w14:textId="77A5E1FD" w:rsidR="00150D5C" w:rsidRDefault="00150D5C" w:rsidP="000F7919">
            <w:pPr>
              <w:ind w:right="-107"/>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Audited</w:t>
            </w:r>
          </w:p>
          <w:p w14:paraId="1CD33769" w14:textId="7949B8CE" w:rsidR="00150D5C" w:rsidRPr="00DD162A" w:rsidRDefault="00150D5C" w:rsidP="000F7919">
            <w:pPr>
              <w:ind w:right="-107"/>
              <w:jc w:val="right"/>
              <w:rPr>
                <w:rFonts w:ascii="Arial" w:eastAsia="Times New Roman" w:hAnsi="Arial" w:cs="Arial"/>
                <w:b/>
                <w:bCs/>
                <w:color w:val="000000"/>
                <w:sz w:val="20"/>
                <w:szCs w:val="20"/>
                <w:lang w:eastAsia="en-GB"/>
              </w:rPr>
            </w:pPr>
            <w:r w:rsidRPr="00DD162A">
              <w:rPr>
                <w:rFonts w:ascii="Arial" w:eastAsia="Times New Roman" w:hAnsi="Arial" w:cs="Arial"/>
                <w:b/>
                <w:bCs/>
                <w:color w:val="000000"/>
                <w:sz w:val="20"/>
                <w:szCs w:val="20"/>
                <w:lang w:eastAsia="en-GB"/>
              </w:rPr>
              <w:t>31 December</w:t>
            </w:r>
          </w:p>
        </w:tc>
      </w:tr>
      <w:tr w:rsidR="00150D5C" w:rsidRPr="00DD162A" w14:paraId="07679ABA" w14:textId="77777777" w:rsidTr="00B82B88">
        <w:trPr>
          <w:trHeight w:val="288"/>
        </w:trPr>
        <w:tc>
          <w:tcPr>
            <w:tcW w:w="4287" w:type="dxa"/>
            <w:tcBorders>
              <w:top w:val="nil"/>
              <w:left w:val="nil"/>
              <w:bottom w:val="nil"/>
              <w:right w:val="nil"/>
            </w:tcBorders>
            <w:shd w:val="clear" w:color="auto" w:fill="auto"/>
            <w:noWrap/>
            <w:vAlign w:val="bottom"/>
            <w:hideMark/>
          </w:tcPr>
          <w:p w14:paraId="3E28E573" w14:textId="77777777" w:rsidR="00150D5C" w:rsidRPr="00DD162A" w:rsidRDefault="00150D5C" w:rsidP="000F7919">
            <w:pPr>
              <w:jc w:val="right"/>
              <w:rPr>
                <w:rFonts w:ascii="Arial" w:eastAsia="Times New Roman" w:hAnsi="Arial" w:cs="Arial"/>
                <w:b/>
                <w:bCs/>
                <w:color w:val="000000"/>
                <w:sz w:val="20"/>
                <w:szCs w:val="20"/>
                <w:lang w:eastAsia="en-GB"/>
              </w:rPr>
            </w:pPr>
          </w:p>
        </w:tc>
        <w:tc>
          <w:tcPr>
            <w:tcW w:w="708" w:type="dxa"/>
            <w:tcBorders>
              <w:top w:val="nil"/>
              <w:left w:val="nil"/>
              <w:bottom w:val="nil"/>
              <w:right w:val="nil"/>
            </w:tcBorders>
            <w:shd w:val="clear" w:color="auto" w:fill="auto"/>
            <w:noWrap/>
            <w:vAlign w:val="bottom"/>
            <w:hideMark/>
          </w:tcPr>
          <w:p w14:paraId="41F73CA7" w14:textId="77777777" w:rsidR="00150D5C" w:rsidRPr="00DD162A" w:rsidRDefault="00150D5C" w:rsidP="000F7919">
            <w:pPr>
              <w:rPr>
                <w:rFonts w:ascii="Arial" w:eastAsia="Times New Roman" w:hAnsi="Arial" w:cs="Arial"/>
                <w:sz w:val="20"/>
                <w:szCs w:val="20"/>
                <w:lang w:eastAsia="en-GB"/>
              </w:rPr>
            </w:pPr>
          </w:p>
        </w:tc>
        <w:tc>
          <w:tcPr>
            <w:tcW w:w="1370" w:type="dxa"/>
            <w:tcBorders>
              <w:top w:val="nil"/>
              <w:left w:val="nil"/>
              <w:bottom w:val="nil"/>
              <w:right w:val="nil"/>
            </w:tcBorders>
            <w:vAlign w:val="center"/>
          </w:tcPr>
          <w:p w14:paraId="44DE9E45" w14:textId="335CC493" w:rsidR="00150D5C" w:rsidRPr="00DD162A" w:rsidRDefault="00150D5C" w:rsidP="000F7919">
            <w:pPr>
              <w:jc w:val="right"/>
              <w:rPr>
                <w:rFonts w:ascii="Arial" w:eastAsia="Times New Roman" w:hAnsi="Arial" w:cs="Arial"/>
                <w:b/>
                <w:bCs/>
                <w:color w:val="000000"/>
                <w:sz w:val="20"/>
                <w:szCs w:val="20"/>
                <w:lang w:eastAsia="en-GB"/>
              </w:rPr>
            </w:pPr>
            <w:r w:rsidRPr="00DD162A">
              <w:rPr>
                <w:rFonts w:ascii="Arial" w:eastAsia="Times New Roman" w:hAnsi="Arial" w:cs="Arial"/>
                <w:b/>
                <w:bCs/>
                <w:color w:val="000000"/>
                <w:sz w:val="20"/>
                <w:szCs w:val="20"/>
                <w:lang w:eastAsia="en-GB"/>
              </w:rPr>
              <w:t>201</w:t>
            </w:r>
            <w:r w:rsidR="00641C89">
              <w:rPr>
                <w:rFonts w:ascii="Arial" w:eastAsia="Times New Roman" w:hAnsi="Arial" w:cs="Arial"/>
                <w:b/>
                <w:bCs/>
                <w:color w:val="000000"/>
                <w:sz w:val="20"/>
                <w:szCs w:val="20"/>
                <w:lang w:eastAsia="en-GB"/>
              </w:rPr>
              <w:t>9</w:t>
            </w:r>
          </w:p>
        </w:tc>
        <w:tc>
          <w:tcPr>
            <w:tcW w:w="1370" w:type="dxa"/>
            <w:tcBorders>
              <w:top w:val="nil"/>
              <w:left w:val="nil"/>
              <w:bottom w:val="nil"/>
              <w:right w:val="nil"/>
            </w:tcBorders>
            <w:shd w:val="clear" w:color="auto" w:fill="auto"/>
            <w:noWrap/>
            <w:vAlign w:val="center"/>
            <w:hideMark/>
          </w:tcPr>
          <w:p w14:paraId="2B6AA179" w14:textId="756DAA10" w:rsidR="00150D5C" w:rsidRPr="00DD162A" w:rsidRDefault="00150D5C" w:rsidP="000F7919">
            <w:pPr>
              <w:ind w:right="-107"/>
              <w:jc w:val="right"/>
              <w:rPr>
                <w:rFonts w:ascii="Arial" w:eastAsia="Times New Roman" w:hAnsi="Arial" w:cs="Arial"/>
                <w:b/>
                <w:bCs/>
                <w:color w:val="000000"/>
                <w:sz w:val="20"/>
                <w:szCs w:val="20"/>
                <w:lang w:eastAsia="en-GB"/>
              </w:rPr>
            </w:pPr>
            <w:r w:rsidRPr="00DD162A">
              <w:rPr>
                <w:rFonts w:ascii="Arial" w:eastAsia="Times New Roman" w:hAnsi="Arial" w:cs="Arial"/>
                <w:b/>
                <w:bCs/>
                <w:color w:val="000000"/>
                <w:sz w:val="20"/>
                <w:szCs w:val="20"/>
                <w:lang w:eastAsia="en-GB"/>
              </w:rPr>
              <w:t>201</w:t>
            </w:r>
            <w:r w:rsidR="00641C89">
              <w:rPr>
                <w:rFonts w:ascii="Arial" w:eastAsia="Times New Roman" w:hAnsi="Arial" w:cs="Arial"/>
                <w:b/>
                <w:bCs/>
                <w:color w:val="000000"/>
                <w:sz w:val="20"/>
                <w:szCs w:val="20"/>
                <w:lang w:eastAsia="en-GB"/>
              </w:rPr>
              <w:t>8</w:t>
            </w:r>
          </w:p>
        </w:tc>
        <w:tc>
          <w:tcPr>
            <w:tcW w:w="1371" w:type="dxa"/>
            <w:tcBorders>
              <w:top w:val="nil"/>
              <w:left w:val="nil"/>
              <w:bottom w:val="nil"/>
              <w:right w:val="nil"/>
            </w:tcBorders>
            <w:vAlign w:val="center"/>
          </w:tcPr>
          <w:p w14:paraId="34C161B8" w14:textId="345B21C2" w:rsidR="00150D5C" w:rsidRPr="00DD162A" w:rsidRDefault="00150D5C" w:rsidP="000F7919">
            <w:pPr>
              <w:ind w:right="-107"/>
              <w:jc w:val="right"/>
              <w:rPr>
                <w:rFonts w:ascii="Arial" w:eastAsia="Times New Roman" w:hAnsi="Arial" w:cs="Arial"/>
                <w:b/>
                <w:bCs/>
                <w:color w:val="000000"/>
                <w:sz w:val="20"/>
                <w:szCs w:val="20"/>
                <w:lang w:eastAsia="en-GB"/>
              </w:rPr>
            </w:pPr>
            <w:r w:rsidRPr="00DD162A">
              <w:rPr>
                <w:rFonts w:ascii="Arial" w:eastAsia="Times New Roman" w:hAnsi="Arial" w:cs="Arial"/>
                <w:b/>
                <w:bCs/>
                <w:color w:val="000000"/>
                <w:sz w:val="20"/>
                <w:szCs w:val="20"/>
                <w:lang w:eastAsia="en-GB"/>
              </w:rPr>
              <w:t>201</w:t>
            </w:r>
            <w:r w:rsidR="00641C89">
              <w:rPr>
                <w:rFonts w:ascii="Arial" w:eastAsia="Times New Roman" w:hAnsi="Arial" w:cs="Arial"/>
                <w:b/>
                <w:bCs/>
                <w:color w:val="000000"/>
                <w:sz w:val="20"/>
                <w:szCs w:val="20"/>
                <w:lang w:eastAsia="en-GB"/>
              </w:rPr>
              <w:t>8</w:t>
            </w:r>
          </w:p>
        </w:tc>
      </w:tr>
      <w:tr w:rsidR="00150D5C" w:rsidRPr="00DD162A" w14:paraId="6028A64F" w14:textId="77777777" w:rsidTr="00B82B88">
        <w:trPr>
          <w:trHeight w:val="288"/>
        </w:trPr>
        <w:tc>
          <w:tcPr>
            <w:tcW w:w="4287" w:type="dxa"/>
            <w:tcBorders>
              <w:top w:val="nil"/>
              <w:left w:val="nil"/>
              <w:bottom w:val="nil"/>
              <w:right w:val="nil"/>
            </w:tcBorders>
            <w:shd w:val="clear" w:color="auto" w:fill="auto"/>
            <w:noWrap/>
            <w:vAlign w:val="center"/>
            <w:hideMark/>
          </w:tcPr>
          <w:p w14:paraId="2CA77935" w14:textId="77777777" w:rsidR="00150D5C" w:rsidRPr="00DD162A" w:rsidRDefault="00150D5C" w:rsidP="000F7919">
            <w:pPr>
              <w:jc w:val="right"/>
              <w:rPr>
                <w:rFonts w:ascii="Arial" w:eastAsia="Times New Roman" w:hAnsi="Arial" w:cs="Arial"/>
                <w:b/>
                <w:bCs/>
                <w:color w:val="000000"/>
                <w:sz w:val="20"/>
                <w:szCs w:val="20"/>
                <w:lang w:eastAsia="en-GB"/>
              </w:rPr>
            </w:pPr>
          </w:p>
        </w:tc>
        <w:tc>
          <w:tcPr>
            <w:tcW w:w="708" w:type="dxa"/>
            <w:tcBorders>
              <w:top w:val="nil"/>
              <w:left w:val="nil"/>
              <w:bottom w:val="nil"/>
              <w:right w:val="nil"/>
            </w:tcBorders>
            <w:shd w:val="clear" w:color="auto" w:fill="auto"/>
            <w:noWrap/>
            <w:vAlign w:val="center"/>
            <w:hideMark/>
          </w:tcPr>
          <w:p w14:paraId="2FE1C377" w14:textId="77777777" w:rsidR="00150D5C" w:rsidRPr="00DD162A" w:rsidRDefault="00150D5C" w:rsidP="000F7919">
            <w:pPr>
              <w:jc w:val="center"/>
              <w:rPr>
                <w:rFonts w:ascii="Arial" w:eastAsia="Times New Roman" w:hAnsi="Arial" w:cs="Arial"/>
                <w:color w:val="000000"/>
                <w:sz w:val="20"/>
                <w:szCs w:val="20"/>
                <w:lang w:eastAsia="en-GB"/>
              </w:rPr>
            </w:pPr>
          </w:p>
        </w:tc>
        <w:tc>
          <w:tcPr>
            <w:tcW w:w="1370" w:type="dxa"/>
            <w:tcBorders>
              <w:top w:val="nil"/>
              <w:left w:val="nil"/>
              <w:bottom w:val="nil"/>
              <w:right w:val="nil"/>
            </w:tcBorders>
            <w:vAlign w:val="center"/>
          </w:tcPr>
          <w:p w14:paraId="03148493" w14:textId="77777777" w:rsidR="00150D5C" w:rsidRPr="00DD162A" w:rsidRDefault="00150D5C" w:rsidP="000F7919">
            <w:pPr>
              <w:jc w:val="right"/>
              <w:rPr>
                <w:rFonts w:ascii="Arial" w:eastAsia="Times New Roman" w:hAnsi="Arial" w:cs="Arial"/>
                <w:color w:val="000000"/>
                <w:sz w:val="20"/>
                <w:szCs w:val="20"/>
                <w:lang w:eastAsia="en-GB"/>
              </w:rPr>
            </w:pPr>
            <w:r w:rsidRPr="00DD162A">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’000</w:t>
            </w:r>
          </w:p>
        </w:tc>
        <w:tc>
          <w:tcPr>
            <w:tcW w:w="1370" w:type="dxa"/>
            <w:tcBorders>
              <w:top w:val="nil"/>
              <w:left w:val="nil"/>
              <w:bottom w:val="nil"/>
              <w:right w:val="nil"/>
            </w:tcBorders>
            <w:shd w:val="clear" w:color="auto" w:fill="auto"/>
            <w:noWrap/>
            <w:vAlign w:val="center"/>
            <w:hideMark/>
          </w:tcPr>
          <w:p w14:paraId="452EB4CC" w14:textId="77777777" w:rsidR="00150D5C" w:rsidRPr="00DD162A" w:rsidRDefault="00150D5C" w:rsidP="000F7919">
            <w:pPr>
              <w:ind w:right="-107"/>
              <w:jc w:val="right"/>
              <w:rPr>
                <w:rFonts w:ascii="Arial" w:eastAsia="Times New Roman" w:hAnsi="Arial" w:cs="Arial"/>
                <w:color w:val="000000"/>
                <w:sz w:val="20"/>
                <w:szCs w:val="20"/>
                <w:lang w:eastAsia="en-GB"/>
              </w:rPr>
            </w:pPr>
            <w:r w:rsidRPr="00DD162A">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’000</w:t>
            </w:r>
          </w:p>
        </w:tc>
        <w:tc>
          <w:tcPr>
            <w:tcW w:w="1371" w:type="dxa"/>
            <w:tcBorders>
              <w:top w:val="nil"/>
              <w:left w:val="nil"/>
              <w:bottom w:val="nil"/>
              <w:right w:val="nil"/>
            </w:tcBorders>
            <w:vAlign w:val="center"/>
          </w:tcPr>
          <w:p w14:paraId="2BDAD533" w14:textId="77777777" w:rsidR="00150D5C" w:rsidRPr="00BC051F" w:rsidRDefault="00150D5C" w:rsidP="000F7919">
            <w:pPr>
              <w:ind w:right="-107"/>
              <w:jc w:val="right"/>
              <w:rPr>
                <w:rFonts w:ascii="Arial" w:eastAsia="Times New Roman" w:hAnsi="Arial" w:cs="Arial"/>
                <w:bCs/>
                <w:color w:val="000000"/>
                <w:sz w:val="20"/>
                <w:szCs w:val="20"/>
                <w:lang w:eastAsia="en-GB"/>
              </w:rPr>
            </w:pPr>
            <w:r w:rsidRPr="00BC051F">
              <w:rPr>
                <w:rFonts w:ascii="Arial" w:eastAsia="Times New Roman" w:hAnsi="Arial" w:cs="Arial"/>
                <w:bCs/>
                <w:color w:val="000000"/>
                <w:sz w:val="20"/>
                <w:szCs w:val="20"/>
                <w:lang w:eastAsia="en-GB"/>
              </w:rPr>
              <w:t>£’000</w:t>
            </w:r>
          </w:p>
        </w:tc>
      </w:tr>
      <w:tr w:rsidR="00150D5C" w:rsidRPr="00DD162A" w14:paraId="7B335DC8" w14:textId="77777777" w:rsidTr="00B82B88">
        <w:trPr>
          <w:trHeight w:val="288"/>
        </w:trPr>
        <w:tc>
          <w:tcPr>
            <w:tcW w:w="4287" w:type="dxa"/>
            <w:tcBorders>
              <w:top w:val="nil"/>
              <w:left w:val="nil"/>
              <w:bottom w:val="nil"/>
              <w:right w:val="nil"/>
            </w:tcBorders>
            <w:shd w:val="clear" w:color="auto" w:fill="auto"/>
            <w:noWrap/>
            <w:vAlign w:val="center"/>
            <w:hideMark/>
          </w:tcPr>
          <w:p w14:paraId="12810DFA" w14:textId="77777777" w:rsidR="00150D5C" w:rsidRPr="00DD162A" w:rsidRDefault="00150D5C" w:rsidP="000F7919">
            <w:pPr>
              <w:rPr>
                <w:rFonts w:ascii="Arial" w:eastAsia="Times New Roman" w:hAnsi="Arial" w:cs="Arial"/>
                <w:b/>
                <w:bCs/>
                <w:color w:val="000000"/>
                <w:sz w:val="20"/>
                <w:szCs w:val="20"/>
                <w:lang w:eastAsia="en-GB"/>
              </w:rPr>
            </w:pPr>
            <w:r w:rsidRPr="00DD162A">
              <w:rPr>
                <w:rFonts w:ascii="Arial" w:eastAsia="Times New Roman" w:hAnsi="Arial" w:cs="Arial"/>
                <w:b/>
                <w:bCs/>
                <w:color w:val="000000"/>
                <w:sz w:val="20"/>
                <w:szCs w:val="20"/>
                <w:lang w:eastAsia="en-GB"/>
              </w:rPr>
              <w:t>Non-current assets</w:t>
            </w:r>
          </w:p>
        </w:tc>
        <w:tc>
          <w:tcPr>
            <w:tcW w:w="708" w:type="dxa"/>
            <w:tcBorders>
              <w:top w:val="nil"/>
              <w:left w:val="nil"/>
              <w:bottom w:val="nil"/>
              <w:right w:val="nil"/>
            </w:tcBorders>
            <w:shd w:val="clear" w:color="auto" w:fill="auto"/>
            <w:noWrap/>
            <w:vAlign w:val="center"/>
            <w:hideMark/>
          </w:tcPr>
          <w:p w14:paraId="7C01EB29" w14:textId="77777777" w:rsidR="00150D5C" w:rsidRPr="00DD162A" w:rsidRDefault="00150D5C" w:rsidP="000F7919">
            <w:pPr>
              <w:jc w:val="center"/>
              <w:rPr>
                <w:rFonts w:ascii="Arial" w:eastAsia="Times New Roman" w:hAnsi="Arial" w:cs="Arial"/>
                <w:b/>
                <w:bCs/>
                <w:color w:val="000000"/>
                <w:sz w:val="20"/>
                <w:szCs w:val="20"/>
                <w:lang w:eastAsia="en-GB"/>
              </w:rPr>
            </w:pPr>
          </w:p>
        </w:tc>
        <w:tc>
          <w:tcPr>
            <w:tcW w:w="1370" w:type="dxa"/>
            <w:tcBorders>
              <w:top w:val="nil"/>
              <w:left w:val="nil"/>
              <w:bottom w:val="nil"/>
              <w:right w:val="nil"/>
            </w:tcBorders>
            <w:vAlign w:val="center"/>
          </w:tcPr>
          <w:p w14:paraId="70A77EB3" w14:textId="77777777" w:rsidR="00150D5C" w:rsidRPr="00DD162A" w:rsidRDefault="00150D5C" w:rsidP="000F7919">
            <w:pPr>
              <w:jc w:val="center"/>
              <w:rPr>
                <w:rFonts w:ascii="Arial" w:eastAsia="Times New Roman" w:hAnsi="Arial" w:cs="Arial"/>
                <w:sz w:val="20"/>
                <w:szCs w:val="20"/>
                <w:lang w:eastAsia="en-GB"/>
              </w:rPr>
            </w:pPr>
          </w:p>
        </w:tc>
        <w:tc>
          <w:tcPr>
            <w:tcW w:w="1370" w:type="dxa"/>
            <w:tcBorders>
              <w:top w:val="nil"/>
              <w:left w:val="nil"/>
              <w:bottom w:val="nil"/>
              <w:right w:val="nil"/>
            </w:tcBorders>
            <w:shd w:val="clear" w:color="auto" w:fill="auto"/>
            <w:noWrap/>
            <w:vAlign w:val="center"/>
            <w:hideMark/>
          </w:tcPr>
          <w:p w14:paraId="64B48E23" w14:textId="77777777" w:rsidR="00150D5C" w:rsidRPr="00DD162A" w:rsidRDefault="00150D5C" w:rsidP="000F7919">
            <w:pPr>
              <w:jc w:val="center"/>
              <w:rPr>
                <w:rFonts w:ascii="Arial" w:eastAsia="Times New Roman" w:hAnsi="Arial" w:cs="Arial"/>
                <w:sz w:val="20"/>
                <w:szCs w:val="20"/>
                <w:lang w:eastAsia="en-GB"/>
              </w:rPr>
            </w:pPr>
          </w:p>
        </w:tc>
        <w:tc>
          <w:tcPr>
            <w:tcW w:w="1371" w:type="dxa"/>
            <w:tcBorders>
              <w:top w:val="nil"/>
              <w:left w:val="nil"/>
              <w:bottom w:val="nil"/>
              <w:right w:val="nil"/>
            </w:tcBorders>
            <w:vAlign w:val="center"/>
          </w:tcPr>
          <w:p w14:paraId="7DBDD151" w14:textId="77777777" w:rsidR="00150D5C" w:rsidRPr="00337096" w:rsidRDefault="00150D5C" w:rsidP="000F7919">
            <w:pPr>
              <w:ind w:right="-107"/>
              <w:jc w:val="right"/>
              <w:rPr>
                <w:rFonts w:ascii="Arial" w:eastAsia="Times New Roman" w:hAnsi="Arial" w:cs="Arial"/>
                <w:b/>
                <w:bCs/>
                <w:color w:val="000000"/>
                <w:sz w:val="20"/>
                <w:szCs w:val="20"/>
                <w:lang w:eastAsia="en-GB"/>
              </w:rPr>
            </w:pPr>
          </w:p>
        </w:tc>
      </w:tr>
      <w:tr w:rsidR="00672B62" w:rsidRPr="00DD162A" w14:paraId="77286487" w14:textId="77777777" w:rsidTr="00B82B88">
        <w:trPr>
          <w:trHeight w:val="288"/>
        </w:trPr>
        <w:tc>
          <w:tcPr>
            <w:tcW w:w="4287" w:type="dxa"/>
            <w:tcBorders>
              <w:top w:val="nil"/>
              <w:left w:val="nil"/>
              <w:bottom w:val="nil"/>
              <w:right w:val="nil"/>
            </w:tcBorders>
            <w:shd w:val="clear" w:color="auto" w:fill="auto"/>
            <w:noWrap/>
            <w:vAlign w:val="center"/>
            <w:hideMark/>
          </w:tcPr>
          <w:p w14:paraId="7CA1B245" w14:textId="77777777" w:rsidR="00672B62" w:rsidRPr="00DD162A" w:rsidRDefault="00672B62" w:rsidP="00672B62">
            <w:pPr>
              <w:rPr>
                <w:rFonts w:ascii="Arial" w:eastAsia="Times New Roman" w:hAnsi="Arial" w:cs="Arial"/>
                <w:color w:val="000000"/>
                <w:sz w:val="20"/>
                <w:szCs w:val="20"/>
                <w:lang w:eastAsia="en-GB"/>
              </w:rPr>
            </w:pPr>
            <w:r w:rsidRPr="00DD162A">
              <w:rPr>
                <w:rFonts w:ascii="Arial" w:eastAsia="Times New Roman" w:hAnsi="Arial" w:cs="Arial"/>
                <w:color w:val="000000"/>
                <w:sz w:val="20"/>
                <w:szCs w:val="20"/>
                <w:lang w:eastAsia="en-GB"/>
              </w:rPr>
              <w:t>Property, plant and equipment</w:t>
            </w:r>
          </w:p>
        </w:tc>
        <w:tc>
          <w:tcPr>
            <w:tcW w:w="708" w:type="dxa"/>
            <w:tcBorders>
              <w:top w:val="nil"/>
              <w:left w:val="nil"/>
              <w:bottom w:val="nil"/>
              <w:right w:val="nil"/>
            </w:tcBorders>
            <w:shd w:val="clear" w:color="auto" w:fill="auto"/>
            <w:noWrap/>
            <w:vAlign w:val="center"/>
          </w:tcPr>
          <w:p w14:paraId="62410191" w14:textId="77777777" w:rsidR="00672B62" w:rsidRPr="00DD162A" w:rsidRDefault="00672B62" w:rsidP="00672B62">
            <w:pPr>
              <w:rPr>
                <w:rFonts w:ascii="Arial" w:eastAsia="Times New Roman" w:hAnsi="Arial" w:cs="Arial"/>
                <w:color w:val="000000"/>
                <w:sz w:val="20"/>
                <w:szCs w:val="20"/>
                <w:lang w:eastAsia="en-GB"/>
              </w:rPr>
            </w:pPr>
          </w:p>
        </w:tc>
        <w:tc>
          <w:tcPr>
            <w:tcW w:w="1370" w:type="dxa"/>
            <w:tcBorders>
              <w:top w:val="nil"/>
              <w:left w:val="nil"/>
              <w:bottom w:val="nil"/>
              <w:right w:val="nil"/>
            </w:tcBorders>
            <w:vAlign w:val="center"/>
          </w:tcPr>
          <w:p w14:paraId="72E6054B" w14:textId="58412157" w:rsidR="00672B62" w:rsidRPr="00DD162A" w:rsidRDefault="000225D0" w:rsidP="00672B62">
            <w:pPr>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4,893.7</w:t>
            </w:r>
          </w:p>
        </w:tc>
        <w:tc>
          <w:tcPr>
            <w:tcW w:w="1370" w:type="dxa"/>
            <w:tcBorders>
              <w:top w:val="nil"/>
              <w:left w:val="nil"/>
              <w:bottom w:val="nil"/>
              <w:right w:val="nil"/>
            </w:tcBorders>
            <w:shd w:val="clear" w:color="auto" w:fill="auto"/>
            <w:noWrap/>
            <w:vAlign w:val="center"/>
          </w:tcPr>
          <w:p w14:paraId="7D66047B" w14:textId="3906157E" w:rsidR="00672B62" w:rsidRPr="00DD162A" w:rsidRDefault="00672B62" w:rsidP="00672B62">
            <w:pPr>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1,908.4</w:t>
            </w:r>
          </w:p>
        </w:tc>
        <w:tc>
          <w:tcPr>
            <w:tcW w:w="1371" w:type="dxa"/>
            <w:tcBorders>
              <w:top w:val="nil"/>
              <w:left w:val="nil"/>
              <w:bottom w:val="nil"/>
              <w:right w:val="nil"/>
            </w:tcBorders>
            <w:vAlign w:val="center"/>
          </w:tcPr>
          <w:p w14:paraId="4DC6D4CD" w14:textId="1DC01237" w:rsidR="00672B62" w:rsidRPr="00337096" w:rsidRDefault="00672B62" w:rsidP="00672B62">
            <w:pPr>
              <w:ind w:right="-107"/>
              <w:jc w:val="right"/>
              <w:rPr>
                <w:rFonts w:ascii="Arial" w:eastAsia="Times New Roman" w:hAnsi="Arial" w:cs="Arial"/>
                <w:bCs/>
                <w:color w:val="000000"/>
                <w:sz w:val="20"/>
                <w:szCs w:val="20"/>
                <w:lang w:eastAsia="en-GB"/>
              </w:rPr>
            </w:pPr>
            <w:r w:rsidRPr="004F3092">
              <w:rPr>
                <w:rFonts w:ascii="Arial" w:eastAsia="Times New Roman" w:hAnsi="Arial" w:cs="Arial"/>
                <w:color w:val="000000"/>
                <w:sz w:val="20"/>
                <w:szCs w:val="20"/>
                <w:lang w:eastAsia="en-GB"/>
              </w:rPr>
              <w:t>2,734.3</w:t>
            </w:r>
          </w:p>
        </w:tc>
      </w:tr>
      <w:tr w:rsidR="00672B62" w:rsidRPr="00DD162A" w14:paraId="3F51A496" w14:textId="77777777" w:rsidTr="00B82B88">
        <w:trPr>
          <w:trHeight w:val="294"/>
        </w:trPr>
        <w:tc>
          <w:tcPr>
            <w:tcW w:w="4287" w:type="dxa"/>
            <w:tcBorders>
              <w:top w:val="nil"/>
              <w:left w:val="nil"/>
              <w:bottom w:val="nil"/>
              <w:right w:val="nil"/>
            </w:tcBorders>
            <w:shd w:val="clear" w:color="auto" w:fill="auto"/>
            <w:noWrap/>
            <w:vAlign w:val="center"/>
            <w:hideMark/>
          </w:tcPr>
          <w:p w14:paraId="63A585CD" w14:textId="77777777" w:rsidR="00672B62" w:rsidRPr="00DD162A" w:rsidRDefault="00672B62" w:rsidP="00672B62">
            <w:pPr>
              <w:rPr>
                <w:rFonts w:ascii="Arial" w:eastAsia="Times New Roman" w:hAnsi="Arial" w:cs="Arial"/>
                <w:color w:val="000000"/>
                <w:sz w:val="20"/>
                <w:szCs w:val="20"/>
                <w:lang w:eastAsia="en-GB"/>
              </w:rPr>
            </w:pPr>
            <w:r w:rsidRPr="00DD162A">
              <w:rPr>
                <w:rFonts w:ascii="Arial" w:eastAsia="Times New Roman" w:hAnsi="Arial" w:cs="Arial"/>
                <w:color w:val="000000"/>
                <w:sz w:val="20"/>
                <w:szCs w:val="20"/>
                <w:lang w:eastAsia="en-GB"/>
              </w:rPr>
              <w:t>Intangible assets</w:t>
            </w:r>
          </w:p>
        </w:tc>
        <w:tc>
          <w:tcPr>
            <w:tcW w:w="708" w:type="dxa"/>
            <w:tcBorders>
              <w:top w:val="nil"/>
              <w:left w:val="nil"/>
              <w:bottom w:val="nil"/>
              <w:right w:val="nil"/>
            </w:tcBorders>
            <w:shd w:val="clear" w:color="auto" w:fill="auto"/>
            <w:noWrap/>
            <w:vAlign w:val="center"/>
          </w:tcPr>
          <w:p w14:paraId="600B05ED" w14:textId="77777777" w:rsidR="00672B62" w:rsidRPr="00DD162A" w:rsidRDefault="00672B62" w:rsidP="00672B62">
            <w:pPr>
              <w:jc w:val="center"/>
              <w:rPr>
                <w:rFonts w:ascii="Arial" w:eastAsia="Times New Roman" w:hAnsi="Arial" w:cs="Arial"/>
                <w:color w:val="000000"/>
                <w:sz w:val="20"/>
                <w:szCs w:val="20"/>
                <w:lang w:eastAsia="en-GB"/>
              </w:rPr>
            </w:pPr>
          </w:p>
        </w:tc>
        <w:tc>
          <w:tcPr>
            <w:tcW w:w="1370" w:type="dxa"/>
            <w:tcBorders>
              <w:top w:val="nil"/>
              <w:left w:val="nil"/>
              <w:bottom w:val="nil"/>
              <w:right w:val="nil"/>
            </w:tcBorders>
            <w:vAlign w:val="center"/>
          </w:tcPr>
          <w:p w14:paraId="21EF49FD" w14:textId="4FE96C25" w:rsidR="00672B62" w:rsidRPr="00DD162A" w:rsidRDefault="000225D0" w:rsidP="00672B62">
            <w:pPr>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41,330.7</w:t>
            </w:r>
          </w:p>
        </w:tc>
        <w:tc>
          <w:tcPr>
            <w:tcW w:w="1370" w:type="dxa"/>
            <w:tcBorders>
              <w:top w:val="nil"/>
              <w:left w:val="nil"/>
              <w:bottom w:val="nil"/>
              <w:right w:val="nil"/>
            </w:tcBorders>
            <w:shd w:val="clear" w:color="auto" w:fill="auto"/>
            <w:noWrap/>
            <w:vAlign w:val="center"/>
          </w:tcPr>
          <w:p w14:paraId="73F6302B" w14:textId="39735425" w:rsidR="00672B62" w:rsidRPr="00DD162A" w:rsidRDefault="00672B62" w:rsidP="00672B62">
            <w:pPr>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42,075.9</w:t>
            </w:r>
          </w:p>
        </w:tc>
        <w:tc>
          <w:tcPr>
            <w:tcW w:w="1371" w:type="dxa"/>
            <w:tcBorders>
              <w:top w:val="nil"/>
              <w:left w:val="nil"/>
              <w:bottom w:val="nil"/>
              <w:right w:val="nil"/>
            </w:tcBorders>
            <w:vAlign w:val="center"/>
          </w:tcPr>
          <w:p w14:paraId="46A2E9D7" w14:textId="6C877828" w:rsidR="00672B62" w:rsidRPr="00337096" w:rsidRDefault="00672B62" w:rsidP="00672B62">
            <w:pPr>
              <w:ind w:right="-107"/>
              <w:jc w:val="right"/>
              <w:rPr>
                <w:rFonts w:ascii="Arial" w:eastAsia="Times New Roman" w:hAnsi="Arial" w:cs="Arial"/>
                <w:bCs/>
                <w:color w:val="000000"/>
                <w:sz w:val="20"/>
                <w:szCs w:val="20"/>
                <w:lang w:eastAsia="en-GB"/>
              </w:rPr>
            </w:pPr>
            <w:r w:rsidRPr="004F3092">
              <w:rPr>
                <w:rFonts w:ascii="Arial" w:eastAsia="Times New Roman" w:hAnsi="Arial" w:cs="Arial"/>
                <w:color w:val="000000"/>
                <w:sz w:val="20"/>
                <w:szCs w:val="20"/>
                <w:lang w:eastAsia="en-GB"/>
              </w:rPr>
              <w:t>41,690.7</w:t>
            </w:r>
          </w:p>
        </w:tc>
      </w:tr>
      <w:tr w:rsidR="00AE4260" w14:paraId="68DA8523" w14:textId="77777777" w:rsidTr="00EA678C">
        <w:trPr>
          <w:trHeight w:val="294"/>
        </w:trPr>
        <w:tc>
          <w:tcPr>
            <w:tcW w:w="4287" w:type="dxa"/>
            <w:tcBorders>
              <w:top w:val="nil"/>
              <w:left w:val="nil"/>
              <w:bottom w:val="nil"/>
              <w:right w:val="nil"/>
            </w:tcBorders>
            <w:shd w:val="clear" w:color="auto" w:fill="auto"/>
            <w:noWrap/>
            <w:vAlign w:val="center"/>
          </w:tcPr>
          <w:p w14:paraId="2752B506" w14:textId="1535977C" w:rsidR="00AE4260" w:rsidRPr="00DD162A" w:rsidRDefault="006E4D5B" w:rsidP="00EA678C">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Deferred tax asset</w:t>
            </w:r>
          </w:p>
        </w:tc>
        <w:tc>
          <w:tcPr>
            <w:tcW w:w="708" w:type="dxa"/>
            <w:tcBorders>
              <w:top w:val="nil"/>
              <w:left w:val="nil"/>
              <w:bottom w:val="nil"/>
              <w:right w:val="nil"/>
            </w:tcBorders>
            <w:shd w:val="clear" w:color="auto" w:fill="auto"/>
            <w:noWrap/>
            <w:vAlign w:val="center"/>
          </w:tcPr>
          <w:p w14:paraId="2AF76B5E" w14:textId="77777777" w:rsidR="00AE4260" w:rsidRPr="00DD162A" w:rsidRDefault="00AE4260" w:rsidP="00EA678C">
            <w:pPr>
              <w:jc w:val="center"/>
              <w:rPr>
                <w:rFonts w:ascii="Arial" w:eastAsia="Times New Roman" w:hAnsi="Arial" w:cs="Arial"/>
                <w:color w:val="000000"/>
                <w:sz w:val="20"/>
                <w:szCs w:val="20"/>
                <w:lang w:eastAsia="en-GB"/>
              </w:rPr>
            </w:pPr>
          </w:p>
        </w:tc>
        <w:tc>
          <w:tcPr>
            <w:tcW w:w="1370" w:type="dxa"/>
            <w:tcBorders>
              <w:top w:val="nil"/>
              <w:left w:val="nil"/>
              <w:bottom w:val="nil"/>
              <w:right w:val="nil"/>
            </w:tcBorders>
            <w:vAlign w:val="center"/>
          </w:tcPr>
          <w:p w14:paraId="70DEB3DC" w14:textId="6FB10F24" w:rsidR="00AE4260" w:rsidRPr="00DD162A" w:rsidRDefault="000225D0" w:rsidP="00EA678C">
            <w:pPr>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308.9</w:t>
            </w:r>
          </w:p>
        </w:tc>
        <w:tc>
          <w:tcPr>
            <w:tcW w:w="1370" w:type="dxa"/>
            <w:tcBorders>
              <w:top w:val="nil"/>
              <w:left w:val="nil"/>
              <w:bottom w:val="nil"/>
              <w:right w:val="nil"/>
            </w:tcBorders>
            <w:shd w:val="clear" w:color="auto" w:fill="auto"/>
            <w:noWrap/>
            <w:vAlign w:val="center"/>
          </w:tcPr>
          <w:p w14:paraId="2AA70066" w14:textId="77777777" w:rsidR="00AE4260" w:rsidRDefault="00AE4260" w:rsidP="00EA678C">
            <w:pPr>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1,871.4</w:t>
            </w:r>
          </w:p>
        </w:tc>
        <w:tc>
          <w:tcPr>
            <w:tcW w:w="1371" w:type="dxa"/>
            <w:tcBorders>
              <w:top w:val="nil"/>
              <w:left w:val="nil"/>
              <w:bottom w:val="nil"/>
              <w:right w:val="nil"/>
            </w:tcBorders>
            <w:vAlign w:val="center"/>
          </w:tcPr>
          <w:p w14:paraId="63C71E19" w14:textId="77777777" w:rsidR="00AE4260" w:rsidRDefault="00AE4260" w:rsidP="00EA678C">
            <w:pPr>
              <w:ind w:right="-107"/>
              <w:jc w:val="right"/>
              <w:rPr>
                <w:rFonts w:ascii="Arial" w:eastAsia="Times New Roman" w:hAnsi="Arial" w:cs="Arial"/>
                <w:bCs/>
                <w:color w:val="000000"/>
                <w:sz w:val="20"/>
                <w:szCs w:val="20"/>
                <w:lang w:eastAsia="en-GB"/>
              </w:rPr>
            </w:pPr>
            <w:r w:rsidRPr="004F3092">
              <w:rPr>
                <w:rFonts w:ascii="Arial" w:eastAsia="Times New Roman" w:hAnsi="Arial" w:cs="Arial"/>
                <w:color w:val="000000"/>
                <w:sz w:val="20"/>
                <w:szCs w:val="20"/>
                <w:lang w:eastAsia="en-GB"/>
              </w:rPr>
              <w:t>-</w:t>
            </w:r>
          </w:p>
        </w:tc>
      </w:tr>
      <w:tr w:rsidR="006E4D5B" w14:paraId="4126D229" w14:textId="77777777" w:rsidTr="00EA678C">
        <w:trPr>
          <w:trHeight w:val="294"/>
        </w:trPr>
        <w:tc>
          <w:tcPr>
            <w:tcW w:w="4287" w:type="dxa"/>
            <w:tcBorders>
              <w:top w:val="nil"/>
              <w:left w:val="nil"/>
              <w:bottom w:val="nil"/>
              <w:right w:val="nil"/>
            </w:tcBorders>
            <w:shd w:val="clear" w:color="auto" w:fill="auto"/>
            <w:noWrap/>
            <w:vAlign w:val="center"/>
          </w:tcPr>
          <w:p w14:paraId="2C0BF13F" w14:textId="55674719" w:rsidR="006E4D5B" w:rsidRDefault="006E4D5B" w:rsidP="00EA678C">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Other financial assets</w:t>
            </w:r>
          </w:p>
        </w:tc>
        <w:tc>
          <w:tcPr>
            <w:tcW w:w="708" w:type="dxa"/>
            <w:tcBorders>
              <w:top w:val="nil"/>
              <w:left w:val="nil"/>
              <w:bottom w:val="nil"/>
              <w:right w:val="nil"/>
            </w:tcBorders>
            <w:shd w:val="clear" w:color="auto" w:fill="auto"/>
            <w:noWrap/>
            <w:vAlign w:val="center"/>
          </w:tcPr>
          <w:p w14:paraId="6132D7E0" w14:textId="77777777" w:rsidR="006E4D5B" w:rsidRPr="00DD162A" w:rsidRDefault="006E4D5B" w:rsidP="00EA678C">
            <w:pPr>
              <w:jc w:val="center"/>
              <w:rPr>
                <w:rFonts w:ascii="Arial" w:eastAsia="Times New Roman" w:hAnsi="Arial" w:cs="Arial"/>
                <w:color w:val="000000"/>
                <w:sz w:val="20"/>
                <w:szCs w:val="20"/>
                <w:lang w:eastAsia="en-GB"/>
              </w:rPr>
            </w:pPr>
          </w:p>
        </w:tc>
        <w:tc>
          <w:tcPr>
            <w:tcW w:w="1370" w:type="dxa"/>
            <w:tcBorders>
              <w:top w:val="nil"/>
              <w:left w:val="nil"/>
              <w:bottom w:val="nil"/>
              <w:right w:val="nil"/>
            </w:tcBorders>
            <w:vAlign w:val="center"/>
          </w:tcPr>
          <w:p w14:paraId="76908BFB" w14:textId="3628147D" w:rsidR="006E4D5B" w:rsidRPr="00DD162A" w:rsidRDefault="006E4D5B" w:rsidP="00EA678C">
            <w:pPr>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2,243.2</w:t>
            </w:r>
          </w:p>
        </w:tc>
        <w:tc>
          <w:tcPr>
            <w:tcW w:w="1370" w:type="dxa"/>
            <w:tcBorders>
              <w:top w:val="nil"/>
              <w:left w:val="nil"/>
              <w:bottom w:val="nil"/>
              <w:right w:val="nil"/>
            </w:tcBorders>
            <w:shd w:val="clear" w:color="auto" w:fill="auto"/>
            <w:noWrap/>
            <w:vAlign w:val="center"/>
          </w:tcPr>
          <w:p w14:paraId="225713B2" w14:textId="3AA6DCB2" w:rsidR="006E4D5B" w:rsidRDefault="006E4D5B" w:rsidP="00EA678C">
            <w:pPr>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p>
        </w:tc>
        <w:tc>
          <w:tcPr>
            <w:tcW w:w="1371" w:type="dxa"/>
            <w:tcBorders>
              <w:top w:val="nil"/>
              <w:left w:val="nil"/>
              <w:bottom w:val="nil"/>
              <w:right w:val="nil"/>
            </w:tcBorders>
            <w:vAlign w:val="center"/>
          </w:tcPr>
          <w:p w14:paraId="019B62B8" w14:textId="7C9FE32D" w:rsidR="006E4D5B" w:rsidRPr="004F3092" w:rsidRDefault="006E4D5B" w:rsidP="00EA678C">
            <w:pPr>
              <w:ind w:right="-107"/>
              <w:jc w:val="right"/>
              <w:rPr>
                <w:rFonts w:ascii="Arial" w:eastAsia="Times New Roman" w:hAnsi="Arial" w:cs="Arial"/>
                <w:color w:val="000000"/>
                <w:sz w:val="20"/>
                <w:szCs w:val="20"/>
                <w:lang w:eastAsia="en-GB"/>
              </w:rPr>
            </w:pPr>
            <w:r w:rsidRPr="004F3092">
              <w:rPr>
                <w:rFonts w:ascii="Arial" w:eastAsia="Times New Roman" w:hAnsi="Arial" w:cs="Arial"/>
                <w:color w:val="000000"/>
                <w:sz w:val="20"/>
                <w:szCs w:val="20"/>
                <w:lang w:eastAsia="en-GB"/>
              </w:rPr>
              <w:t>-</w:t>
            </w:r>
          </w:p>
        </w:tc>
      </w:tr>
      <w:tr w:rsidR="00672B62" w:rsidRPr="00DD162A" w14:paraId="78D97648" w14:textId="77777777" w:rsidTr="00B82B88">
        <w:trPr>
          <w:trHeight w:val="294"/>
        </w:trPr>
        <w:tc>
          <w:tcPr>
            <w:tcW w:w="4287" w:type="dxa"/>
            <w:tcBorders>
              <w:top w:val="nil"/>
              <w:left w:val="nil"/>
              <w:bottom w:val="nil"/>
              <w:right w:val="nil"/>
            </w:tcBorders>
            <w:shd w:val="clear" w:color="auto" w:fill="auto"/>
            <w:noWrap/>
            <w:vAlign w:val="center"/>
            <w:hideMark/>
          </w:tcPr>
          <w:p w14:paraId="1C626556" w14:textId="77777777" w:rsidR="00672B62" w:rsidRPr="00DD162A" w:rsidRDefault="00672B62" w:rsidP="00672B62">
            <w:pPr>
              <w:rPr>
                <w:rFonts w:ascii="Arial" w:eastAsia="Times New Roman" w:hAnsi="Arial" w:cs="Arial"/>
                <w:b/>
                <w:bCs/>
                <w:color w:val="000000"/>
                <w:sz w:val="20"/>
                <w:szCs w:val="20"/>
                <w:lang w:eastAsia="en-GB"/>
              </w:rPr>
            </w:pPr>
            <w:r w:rsidRPr="00DD162A">
              <w:rPr>
                <w:rFonts w:ascii="Arial" w:eastAsia="Times New Roman" w:hAnsi="Arial" w:cs="Arial"/>
                <w:b/>
                <w:bCs/>
                <w:color w:val="000000"/>
                <w:sz w:val="20"/>
                <w:szCs w:val="20"/>
                <w:lang w:eastAsia="en-GB"/>
              </w:rPr>
              <w:t>Total non-current assets</w:t>
            </w:r>
          </w:p>
        </w:tc>
        <w:tc>
          <w:tcPr>
            <w:tcW w:w="708" w:type="dxa"/>
            <w:tcBorders>
              <w:top w:val="nil"/>
              <w:left w:val="nil"/>
              <w:bottom w:val="nil"/>
              <w:right w:val="nil"/>
            </w:tcBorders>
            <w:shd w:val="clear" w:color="auto" w:fill="auto"/>
            <w:noWrap/>
            <w:vAlign w:val="center"/>
          </w:tcPr>
          <w:p w14:paraId="05D6668E" w14:textId="77777777" w:rsidR="00672B62" w:rsidRPr="00DD162A" w:rsidRDefault="00672B62" w:rsidP="00672B62">
            <w:pPr>
              <w:jc w:val="center"/>
              <w:rPr>
                <w:rFonts w:ascii="Arial" w:eastAsia="Times New Roman" w:hAnsi="Arial" w:cs="Arial"/>
                <w:b/>
                <w:bCs/>
                <w:color w:val="000000"/>
                <w:sz w:val="20"/>
                <w:szCs w:val="20"/>
                <w:lang w:eastAsia="en-GB"/>
              </w:rPr>
            </w:pPr>
          </w:p>
        </w:tc>
        <w:tc>
          <w:tcPr>
            <w:tcW w:w="1370" w:type="dxa"/>
            <w:tcBorders>
              <w:top w:val="single" w:sz="8" w:space="0" w:color="auto"/>
              <w:left w:val="nil"/>
              <w:bottom w:val="single" w:sz="8" w:space="0" w:color="auto"/>
              <w:right w:val="nil"/>
            </w:tcBorders>
            <w:vAlign w:val="center"/>
          </w:tcPr>
          <w:p w14:paraId="0D290A4D" w14:textId="49C3215C" w:rsidR="00672B62" w:rsidRPr="00DD162A" w:rsidRDefault="000225D0" w:rsidP="00672B62">
            <w:pPr>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48,776.5</w:t>
            </w:r>
          </w:p>
        </w:tc>
        <w:tc>
          <w:tcPr>
            <w:tcW w:w="1370" w:type="dxa"/>
            <w:tcBorders>
              <w:top w:val="single" w:sz="8" w:space="0" w:color="auto"/>
              <w:left w:val="nil"/>
              <w:bottom w:val="single" w:sz="8" w:space="0" w:color="auto"/>
              <w:right w:val="nil"/>
            </w:tcBorders>
            <w:shd w:val="clear" w:color="auto" w:fill="auto"/>
            <w:vAlign w:val="center"/>
          </w:tcPr>
          <w:p w14:paraId="7A7CEA59" w14:textId="19D66F80" w:rsidR="00672B62" w:rsidRPr="00DD162A" w:rsidRDefault="00672B62" w:rsidP="00672B62">
            <w:pPr>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45,855.7</w:t>
            </w:r>
          </w:p>
        </w:tc>
        <w:tc>
          <w:tcPr>
            <w:tcW w:w="1371" w:type="dxa"/>
            <w:tcBorders>
              <w:top w:val="single" w:sz="8" w:space="0" w:color="auto"/>
              <w:left w:val="nil"/>
              <w:bottom w:val="single" w:sz="8" w:space="0" w:color="auto"/>
              <w:right w:val="nil"/>
            </w:tcBorders>
            <w:vAlign w:val="center"/>
          </w:tcPr>
          <w:p w14:paraId="25374DA2" w14:textId="038AA9B4" w:rsidR="00672B62" w:rsidRPr="00672B62" w:rsidRDefault="00672B62" w:rsidP="00672B62">
            <w:pPr>
              <w:ind w:right="-107"/>
              <w:jc w:val="right"/>
              <w:rPr>
                <w:rFonts w:ascii="Arial" w:eastAsia="Times New Roman" w:hAnsi="Arial" w:cs="Arial"/>
                <w:b/>
                <w:color w:val="000000"/>
                <w:sz w:val="20"/>
                <w:szCs w:val="20"/>
                <w:lang w:eastAsia="en-GB"/>
              </w:rPr>
            </w:pPr>
            <w:r w:rsidRPr="00672B62">
              <w:rPr>
                <w:rFonts w:ascii="Arial" w:eastAsia="Times New Roman" w:hAnsi="Arial" w:cs="Arial"/>
                <w:b/>
                <w:color w:val="000000"/>
                <w:sz w:val="20"/>
                <w:szCs w:val="20"/>
                <w:lang w:eastAsia="en-GB"/>
              </w:rPr>
              <w:t>44,425.0</w:t>
            </w:r>
          </w:p>
        </w:tc>
      </w:tr>
      <w:tr w:rsidR="00672B62" w:rsidRPr="00DD162A" w14:paraId="1F80E635" w14:textId="77777777" w:rsidTr="00B82B88">
        <w:trPr>
          <w:trHeight w:val="288"/>
        </w:trPr>
        <w:tc>
          <w:tcPr>
            <w:tcW w:w="4287" w:type="dxa"/>
            <w:tcBorders>
              <w:top w:val="nil"/>
              <w:left w:val="nil"/>
              <w:bottom w:val="nil"/>
              <w:right w:val="nil"/>
            </w:tcBorders>
            <w:shd w:val="clear" w:color="auto" w:fill="auto"/>
            <w:noWrap/>
            <w:vAlign w:val="center"/>
            <w:hideMark/>
          </w:tcPr>
          <w:p w14:paraId="499B9DB8" w14:textId="77777777" w:rsidR="00672B62" w:rsidRPr="00DD162A" w:rsidRDefault="00672B62" w:rsidP="00672B62">
            <w:pPr>
              <w:rPr>
                <w:rFonts w:ascii="Arial" w:eastAsia="Times New Roman" w:hAnsi="Arial" w:cs="Arial"/>
                <w:b/>
                <w:bCs/>
                <w:color w:val="000000"/>
                <w:sz w:val="20"/>
                <w:szCs w:val="20"/>
                <w:lang w:eastAsia="en-GB"/>
              </w:rPr>
            </w:pPr>
          </w:p>
        </w:tc>
        <w:tc>
          <w:tcPr>
            <w:tcW w:w="708" w:type="dxa"/>
            <w:tcBorders>
              <w:top w:val="nil"/>
              <w:left w:val="nil"/>
              <w:bottom w:val="nil"/>
              <w:right w:val="nil"/>
            </w:tcBorders>
            <w:shd w:val="clear" w:color="auto" w:fill="auto"/>
            <w:noWrap/>
            <w:vAlign w:val="center"/>
          </w:tcPr>
          <w:p w14:paraId="71FE7588" w14:textId="77777777" w:rsidR="00672B62" w:rsidRPr="00DD162A" w:rsidRDefault="00672B62" w:rsidP="00672B62">
            <w:pPr>
              <w:jc w:val="center"/>
              <w:rPr>
                <w:rFonts w:ascii="Arial" w:eastAsia="Times New Roman" w:hAnsi="Arial" w:cs="Arial"/>
                <w:sz w:val="20"/>
                <w:szCs w:val="20"/>
                <w:lang w:eastAsia="en-GB"/>
              </w:rPr>
            </w:pPr>
          </w:p>
        </w:tc>
        <w:tc>
          <w:tcPr>
            <w:tcW w:w="1370" w:type="dxa"/>
            <w:tcBorders>
              <w:top w:val="nil"/>
              <w:left w:val="nil"/>
              <w:bottom w:val="nil"/>
              <w:right w:val="nil"/>
            </w:tcBorders>
            <w:vAlign w:val="center"/>
          </w:tcPr>
          <w:p w14:paraId="49EFCC81" w14:textId="77777777" w:rsidR="00672B62" w:rsidRPr="00DD162A" w:rsidRDefault="00672B62" w:rsidP="00672B62">
            <w:pPr>
              <w:jc w:val="right"/>
              <w:rPr>
                <w:rFonts w:ascii="Arial" w:eastAsia="Times New Roman" w:hAnsi="Arial" w:cs="Arial"/>
                <w:sz w:val="20"/>
                <w:szCs w:val="20"/>
                <w:lang w:eastAsia="en-GB"/>
              </w:rPr>
            </w:pPr>
          </w:p>
        </w:tc>
        <w:tc>
          <w:tcPr>
            <w:tcW w:w="1370" w:type="dxa"/>
            <w:tcBorders>
              <w:top w:val="nil"/>
              <w:left w:val="nil"/>
              <w:bottom w:val="nil"/>
              <w:right w:val="nil"/>
            </w:tcBorders>
            <w:shd w:val="clear" w:color="auto" w:fill="auto"/>
            <w:noWrap/>
            <w:vAlign w:val="center"/>
          </w:tcPr>
          <w:p w14:paraId="0F855280" w14:textId="77777777" w:rsidR="00672B62" w:rsidRPr="00DD162A" w:rsidRDefault="00672B62" w:rsidP="00672B62">
            <w:pPr>
              <w:jc w:val="right"/>
              <w:rPr>
                <w:rFonts w:ascii="Arial" w:eastAsia="Times New Roman" w:hAnsi="Arial" w:cs="Arial"/>
                <w:sz w:val="20"/>
                <w:szCs w:val="20"/>
                <w:lang w:eastAsia="en-GB"/>
              </w:rPr>
            </w:pPr>
          </w:p>
        </w:tc>
        <w:tc>
          <w:tcPr>
            <w:tcW w:w="1371" w:type="dxa"/>
            <w:tcBorders>
              <w:top w:val="nil"/>
              <w:left w:val="nil"/>
              <w:bottom w:val="nil"/>
              <w:right w:val="nil"/>
            </w:tcBorders>
          </w:tcPr>
          <w:p w14:paraId="08BA9F9E" w14:textId="77777777" w:rsidR="00672B62" w:rsidRPr="00337096" w:rsidRDefault="00672B62" w:rsidP="00672B62">
            <w:pPr>
              <w:ind w:right="-107"/>
              <w:jc w:val="right"/>
              <w:rPr>
                <w:rFonts w:ascii="Arial" w:eastAsia="Times New Roman" w:hAnsi="Arial" w:cs="Arial"/>
                <w:b/>
                <w:bCs/>
                <w:color w:val="000000"/>
                <w:sz w:val="20"/>
                <w:szCs w:val="20"/>
                <w:lang w:eastAsia="en-GB"/>
              </w:rPr>
            </w:pPr>
          </w:p>
        </w:tc>
      </w:tr>
      <w:tr w:rsidR="00672B62" w:rsidRPr="00DD162A" w14:paraId="726AAF7A" w14:textId="77777777" w:rsidTr="00B82B88">
        <w:trPr>
          <w:trHeight w:val="288"/>
        </w:trPr>
        <w:tc>
          <w:tcPr>
            <w:tcW w:w="4287" w:type="dxa"/>
            <w:tcBorders>
              <w:top w:val="nil"/>
              <w:left w:val="nil"/>
              <w:bottom w:val="nil"/>
              <w:right w:val="nil"/>
            </w:tcBorders>
            <w:shd w:val="clear" w:color="auto" w:fill="auto"/>
            <w:noWrap/>
            <w:vAlign w:val="center"/>
            <w:hideMark/>
          </w:tcPr>
          <w:p w14:paraId="2F0C3607" w14:textId="77777777" w:rsidR="00672B62" w:rsidRPr="00DD162A" w:rsidRDefault="00672B62" w:rsidP="00672B62">
            <w:pPr>
              <w:rPr>
                <w:rFonts w:ascii="Arial" w:eastAsia="Times New Roman" w:hAnsi="Arial" w:cs="Arial"/>
                <w:b/>
                <w:bCs/>
                <w:color w:val="000000"/>
                <w:sz w:val="20"/>
                <w:szCs w:val="20"/>
                <w:lang w:eastAsia="en-GB"/>
              </w:rPr>
            </w:pPr>
            <w:r w:rsidRPr="00DD162A">
              <w:rPr>
                <w:rFonts w:ascii="Arial" w:eastAsia="Times New Roman" w:hAnsi="Arial" w:cs="Arial"/>
                <w:b/>
                <w:bCs/>
                <w:color w:val="000000"/>
                <w:sz w:val="20"/>
                <w:szCs w:val="20"/>
                <w:lang w:eastAsia="en-GB"/>
              </w:rPr>
              <w:t>Current assets</w:t>
            </w:r>
          </w:p>
        </w:tc>
        <w:tc>
          <w:tcPr>
            <w:tcW w:w="708" w:type="dxa"/>
            <w:tcBorders>
              <w:top w:val="nil"/>
              <w:left w:val="nil"/>
              <w:bottom w:val="nil"/>
              <w:right w:val="nil"/>
            </w:tcBorders>
            <w:shd w:val="clear" w:color="auto" w:fill="auto"/>
            <w:noWrap/>
            <w:vAlign w:val="center"/>
          </w:tcPr>
          <w:p w14:paraId="02817BEB" w14:textId="77777777" w:rsidR="00672B62" w:rsidRPr="00DD162A" w:rsidRDefault="00672B62" w:rsidP="00672B62">
            <w:pPr>
              <w:jc w:val="center"/>
              <w:rPr>
                <w:rFonts w:ascii="Arial" w:eastAsia="Times New Roman" w:hAnsi="Arial" w:cs="Arial"/>
                <w:b/>
                <w:bCs/>
                <w:color w:val="000000"/>
                <w:sz w:val="20"/>
                <w:szCs w:val="20"/>
                <w:lang w:eastAsia="en-GB"/>
              </w:rPr>
            </w:pPr>
          </w:p>
        </w:tc>
        <w:tc>
          <w:tcPr>
            <w:tcW w:w="1370" w:type="dxa"/>
            <w:tcBorders>
              <w:top w:val="nil"/>
              <w:left w:val="nil"/>
              <w:bottom w:val="nil"/>
              <w:right w:val="nil"/>
            </w:tcBorders>
            <w:vAlign w:val="center"/>
          </w:tcPr>
          <w:p w14:paraId="3C7BA3E3" w14:textId="77777777" w:rsidR="00672B62" w:rsidRPr="00DD162A" w:rsidRDefault="00672B62" w:rsidP="00672B62">
            <w:pPr>
              <w:jc w:val="right"/>
              <w:rPr>
                <w:rFonts w:ascii="Arial" w:eastAsia="Times New Roman" w:hAnsi="Arial" w:cs="Arial"/>
                <w:sz w:val="20"/>
                <w:szCs w:val="20"/>
                <w:lang w:eastAsia="en-GB"/>
              </w:rPr>
            </w:pPr>
          </w:p>
        </w:tc>
        <w:tc>
          <w:tcPr>
            <w:tcW w:w="1370" w:type="dxa"/>
            <w:tcBorders>
              <w:top w:val="nil"/>
              <w:left w:val="nil"/>
              <w:bottom w:val="nil"/>
              <w:right w:val="nil"/>
            </w:tcBorders>
            <w:shd w:val="clear" w:color="auto" w:fill="auto"/>
            <w:noWrap/>
            <w:vAlign w:val="center"/>
          </w:tcPr>
          <w:p w14:paraId="6E4B1A2D" w14:textId="77777777" w:rsidR="00672B62" w:rsidRPr="00DD162A" w:rsidRDefault="00672B62" w:rsidP="00672B62">
            <w:pPr>
              <w:jc w:val="right"/>
              <w:rPr>
                <w:rFonts w:ascii="Arial" w:eastAsia="Times New Roman" w:hAnsi="Arial" w:cs="Arial"/>
                <w:sz w:val="20"/>
                <w:szCs w:val="20"/>
                <w:lang w:eastAsia="en-GB"/>
              </w:rPr>
            </w:pPr>
          </w:p>
        </w:tc>
        <w:tc>
          <w:tcPr>
            <w:tcW w:w="1371" w:type="dxa"/>
            <w:tcBorders>
              <w:top w:val="nil"/>
              <w:left w:val="nil"/>
              <w:bottom w:val="nil"/>
              <w:right w:val="nil"/>
            </w:tcBorders>
          </w:tcPr>
          <w:p w14:paraId="5238119B" w14:textId="77777777" w:rsidR="00672B62" w:rsidRPr="00337096" w:rsidRDefault="00672B62" w:rsidP="00672B62">
            <w:pPr>
              <w:ind w:right="-107"/>
              <w:jc w:val="right"/>
              <w:rPr>
                <w:rFonts w:ascii="Arial" w:eastAsia="Times New Roman" w:hAnsi="Arial" w:cs="Arial"/>
                <w:b/>
                <w:bCs/>
                <w:color w:val="000000"/>
                <w:sz w:val="20"/>
                <w:szCs w:val="20"/>
                <w:lang w:eastAsia="en-GB"/>
              </w:rPr>
            </w:pPr>
          </w:p>
        </w:tc>
      </w:tr>
      <w:tr w:rsidR="00672B62" w:rsidRPr="00DD162A" w14:paraId="293C1DEF" w14:textId="77777777" w:rsidTr="00B82B88">
        <w:trPr>
          <w:trHeight w:val="288"/>
        </w:trPr>
        <w:tc>
          <w:tcPr>
            <w:tcW w:w="4287" w:type="dxa"/>
            <w:tcBorders>
              <w:top w:val="nil"/>
              <w:left w:val="nil"/>
              <w:bottom w:val="nil"/>
              <w:right w:val="nil"/>
            </w:tcBorders>
            <w:shd w:val="clear" w:color="auto" w:fill="auto"/>
            <w:noWrap/>
            <w:vAlign w:val="center"/>
            <w:hideMark/>
          </w:tcPr>
          <w:p w14:paraId="01DAC666" w14:textId="77777777" w:rsidR="00672B62" w:rsidRPr="00DD162A" w:rsidRDefault="00672B62" w:rsidP="00672B62">
            <w:pPr>
              <w:rPr>
                <w:rFonts w:ascii="Arial" w:eastAsia="Times New Roman" w:hAnsi="Arial" w:cs="Arial"/>
                <w:color w:val="000000"/>
                <w:sz w:val="20"/>
                <w:szCs w:val="20"/>
                <w:lang w:eastAsia="en-GB"/>
              </w:rPr>
            </w:pPr>
            <w:r w:rsidRPr="00DD162A">
              <w:rPr>
                <w:rFonts w:ascii="Arial" w:eastAsia="Times New Roman" w:hAnsi="Arial" w:cs="Arial"/>
                <w:color w:val="000000"/>
                <w:sz w:val="20"/>
                <w:szCs w:val="20"/>
                <w:lang w:eastAsia="en-GB"/>
              </w:rPr>
              <w:t>Inventories</w:t>
            </w:r>
          </w:p>
        </w:tc>
        <w:tc>
          <w:tcPr>
            <w:tcW w:w="708" w:type="dxa"/>
            <w:tcBorders>
              <w:top w:val="nil"/>
              <w:left w:val="nil"/>
              <w:bottom w:val="nil"/>
              <w:right w:val="nil"/>
            </w:tcBorders>
            <w:shd w:val="clear" w:color="auto" w:fill="auto"/>
            <w:noWrap/>
            <w:vAlign w:val="center"/>
          </w:tcPr>
          <w:p w14:paraId="40F9D9E6" w14:textId="77777777" w:rsidR="00672B62" w:rsidRPr="00DD162A" w:rsidRDefault="00672B62" w:rsidP="00672B62">
            <w:pPr>
              <w:jc w:val="center"/>
              <w:rPr>
                <w:rFonts w:ascii="Arial" w:eastAsia="Times New Roman" w:hAnsi="Arial" w:cs="Arial"/>
                <w:color w:val="000000"/>
                <w:sz w:val="20"/>
                <w:szCs w:val="20"/>
                <w:lang w:eastAsia="en-GB"/>
              </w:rPr>
            </w:pPr>
          </w:p>
        </w:tc>
        <w:tc>
          <w:tcPr>
            <w:tcW w:w="1370" w:type="dxa"/>
            <w:tcBorders>
              <w:top w:val="nil"/>
              <w:left w:val="nil"/>
              <w:bottom w:val="nil"/>
              <w:right w:val="nil"/>
            </w:tcBorders>
            <w:vAlign w:val="center"/>
          </w:tcPr>
          <w:p w14:paraId="4C2911CA" w14:textId="134DD307" w:rsidR="00672B62" w:rsidRPr="00DD162A" w:rsidRDefault="002606FE" w:rsidP="00672B62">
            <w:pPr>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30,353.3</w:t>
            </w:r>
          </w:p>
        </w:tc>
        <w:tc>
          <w:tcPr>
            <w:tcW w:w="1370" w:type="dxa"/>
            <w:tcBorders>
              <w:top w:val="nil"/>
              <w:left w:val="nil"/>
              <w:bottom w:val="nil"/>
              <w:right w:val="nil"/>
            </w:tcBorders>
            <w:shd w:val="clear" w:color="auto" w:fill="auto"/>
            <w:noWrap/>
            <w:vAlign w:val="center"/>
          </w:tcPr>
          <w:p w14:paraId="5E9C5CEE" w14:textId="52804BC1" w:rsidR="00672B62" w:rsidRPr="00DD162A" w:rsidRDefault="00672B62" w:rsidP="00672B62">
            <w:pPr>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18,488.8</w:t>
            </w:r>
          </w:p>
        </w:tc>
        <w:tc>
          <w:tcPr>
            <w:tcW w:w="1371" w:type="dxa"/>
            <w:tcBorders>
              <w:top w:val="nil"/>
              <w:left w:val="nil"/>
              <w:bottom w:val="nil"/>
              <w:right w:val="nil"/>
            </w:tcBorders>
            <w:vAlign w:val="center"/>
          </w:tcPr>
          <w:p w14:paraId="2FA5FB8A" w14:textId="05F531D0" w:rsidR="00672B62" w:rsidRPr="00337096" w:rsidRDefault="00672B62" w:rsidP="00672B62">
            <w:pPr>
              <w:ind w:right="-107"/>
              <w:jc w:val="right"/>
              <w:rPr>
                <w:rFonts w:ascii="Arial" w:eastAsia="Times New Roman" w:hAnsi="Arial" w:cs="Arial"/>
                <w:bCs/>
                <w:color w:val="000000"/>
                <w:sz w:val="20"/>
                <w:szCs w:val="20"/>
                <w:lang w:eastAsia="en-GB"/>
              </w:rPr>
            </w:pPr>
            <w:r w:rsidRPr="004F3092">
              <w:rPr>
                <w:rFonts w:ascii="Arial" w:eastAsia="Times New Roman" w:hAnsi="Arial" w:cs="Arial"/>
                <w:color w:val="000000"/>
                <w:sz w:val="20"/>
                <w:szCs w:val="20"/>
                <w:lang w:eastAsia="en-GB"/>
              </w:rPr>
              <w:t>28,322.2</w:t>
            </w:r>
          </w:p>
        </w:tc>
      </w:tr>
      <w:tr w:rsidR="00672B62" w:rsidRPr="00DD162A" w14:paraId="22323FC8" w14:textId="77777777" w:rsidTr="00B82B88">
        <w:trPr>
          <w:trHeight w:val="288"/>
        </w:trPr>
        <w:tc>
          <w:tcPr>
            <w:tcW w:w="4287" w:type="dxa"/>
            <w:tcBorders>
              <w:top w:val="nil"/>
              <w:left w:val="nil"/>
              <w:bottom w:val="nil"/>
              <w:right w:val="nil"/>
            </w:tcBorders>
            <w:shd w:val="clear" w:color="auto" w:fill="auto"/>
            <w:noWrap/>
            <w:vAlign w:val="center"/>
            <w:hideMark/>
          </w:tcPr>
          <w:p w14:paraId="02551386" w14:textId="77777777" w:rsidR="00672B62" w:rsidRPr="00DD162A" w:rsidRDefault="00672B62" w:rsidP="00672B62">
            <w:pPr>
              <w:rPr>
                <w:rFonts w:ascii="Arial" w:eastAsia="Times New Roman" w:hAnsi="Arial" w:cs="Arial"/>
                <w:color w:val="000000"/>
                <w:sz w:val="20"/>
                <w:szCs w:val="20"/>
                <w:lang w:eastAsia="en-GB"/>
              </w:rPr>
            </w:pPr>
            <w:r w:rsidRPr="00DD162A">
              <w:rPr>
                <w:rFonts w:ascii="Arial" w:eastAsia="Times New Roman" w:hAnsi="Arial" w:cs="Arial"/>
                <w:color w:val="000000"/>
                <w:sz w:val="20"/>
                <w:szCs w:val="20"/>
                <w:lang w:eastAsia="en-GB"/>
              </w:rPr>
              <w:t>Trade and other receivables</w:t>
            </w:r>
          </w:p>
        </w:tc>
        <w:tc>
          <w:tcPr>
            <w:tcW w:w="708" w:type="dxa"/>
            <w:tcBorders>
              <w:top w:val="nil"/>
              <w:left w:val="nil"/>
              <w:bottom w:val="nil"/>
              <w:right w:val="nil"/>
            </w:tcBorders>
            <w:shd w:val="clear" w:color="auto" w:fill="auto"/>
            <w:noWrap/>
            <w:vAlign w:val="center"/>
          </w:tcPr>
          <w:p w14:paraId="14DAA9EA" w14:textId="77777777" w:rsidR="00672B62" w:rsidRPr="00DD162A" w:rsidRDefault="00672B62" w:rsidP="00672B62">
            <w:pPr>
              <w:jc w:val="center"/>
              <w:rPr>
                <w:rFonts w:ascii="Arial" w:eastAsia="Times New Roman" w:hAnsi="Arial" w:cs="Arial"/>
                <w:color w:val="000000"/>
                <w:sz w:val="20"/>
                <w:szCs w:val="20"/>
                <w:lang w:eastAsia="en-GB"/>
              </w:rPr>
            </w:pPr>
          </w:p>
        </w:tc>
        <w:tc>
          <w:tcPr>
            <w:tcW w:w="1370" w:type="dxa"/>
            <w:tcBorders>
              <w:top w:val="nil"/>
              <w:left w:val="nil"/>
              <w:bottom w:val="nil"/>
              <w:right w:val="nil"/>
            </w:tcBorders>
            <w:vAlign w:val="center"/>
          </w:tcPr>
          <w:p w14:paraId="23B52C43" w14:textId="2852368C" w:rsidR="00672B62" w:rsidRPr="00DD162A" w:rsidRDefault="002606FE" w:rsidP="00672B62">
            <w:pPr>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55,489.7</w:t>
            </w:r>
          </w:p>
        </w:tc>
        <w:tc>
          <w:tcPr>
            <w:tcW w:w="1370" w:type="dxa"/>
            <w:tcBorders>
              <w:top w:val="nil"/>
              <w:left w:val="nil"/>
              <w:bottom w:val="nil"/>
              <w:right w:val="nil"/>
            </w:tcBorders>
            <w:shd w:val="clear" w:color="auto" w:fill="auto"/>
            <w:noWrap/>
            <w:vAlign w:val="center"/>
          </w:tcPr>
          <w:p w14:paraId="786FBDEF" w14:textId="1EE7052E" w:rsidR="00672B62" w:rsidRPr="00DD162A" w:rsidRDefault="00672B62" w:rsidP="00672B62">
            <w:pPr>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67,247.3</w:t>
            </w:r>
          </w:p>
        </w:tc>
        <w:tc>
          <w:tcPr>
            <w:tcW w:w="1371" w:type="dxa"/>
            <w:tcBorders>
              <w:top w:val="nil"/>
              <w:left w:val="nil"/>
              <w:bottom w:val="nil"/>
              <w:right w:val="nil"/>
            </w:tcBorders>
            <w:vAlign w:val="center"/>
          </w:tcPr>
          <w:p w14:paraId="71D6717B" w14:textId="2A84AC7D" w:rsidR="00672B62" w:rsidRPr="00337096" w:rsidRDefault="00672B62" w:rsidP="00672B62">
            <w:pPr>
              <w:ind w:right="-107"/>
              <w:jc w:val="right"/>
              <w:rPr>
                <w:rFonts w:ascii="Arial" w:eastAsia="Times New Roman" w:hAnsi="Arial" w:cs="Arial"/>
                <w:bCs/>
                <w:color w:val="000000"/>
                <w:sz w:val="20"/>
                <w:szCs w:val="20"/>
                <w:lang w:eastAsia="en-GB"/>
              </w:rPr>
            </w:pPr>
            <w:r w:rsidRPr="004F3092">
              <w:rPr>
                <w:rFonts w:ascii="Arial" w:eastAsia="Times New Roman" w:hAnsi="Arial" w:cs="Arial"/>
                <w:color w:val="000000"/>
                <w:sz w:val="20"/>
                <w:szCs w:val="20"/>
                <w:lang w:eastAsia="en-GB"/>
              </w:rPr>
              <w:t>62,916.1</w:t>
            </w:r>
          </w:p>
        </w:tc>
      </w:tr>
      <w:tr w:rsidR="00672B62" w:rsidRPr="00DD162A" w14:paraId="5043A4EE" w14:textId="77777777" w:rsidTr="00B82B88">
        <w:trPr>
          <w:trHeight w:val="294"/>
        </w:trPr>
        <w:tc>
          <w:tcPr>
            <w:tcW w:w="4287" w:type="dxa"/>
            <w:tcBorders>
              <w:top w:val="nil"/>
              <w:left w:val="nil"/>
              <w:bottom w:val="nil"/>
              <w:right w:val="nil"/>
            </w:tcBorders>
            <w:shd w:val="clear" w:color="auto" w:fill="auto"/>
            <w:noWrap/>
            <w:vAlign w:val="center"/>
            <w:hideMark/>
          </w:tcPr>
          <w:p w14:paraId="28594F30" w14:textId="77777777" w:rsidR="00672B62" w:rsidRPr="00DD162A" w:rsidRDefault="00672B62" w:rsidP="00672B62">
            <w:pPr>
              <w:rPr>
                <w:rFonts w:ascii="Arial" w:eastAsia="Times New Roman" w:hAnsi="Arial" w:cs="Arial"/>
                <w:color w:val="000000"/>
                <w:sz w:val="20"/>
                <w:szCs w:val="20"/>
                <w:lang w:eastAsia="en-GB"/>
              </w:rPr>
            </w:pPr>
            <w:r w:rsidRPr="00DD162A">
              <w:rPr>
                <w:rFonts w:ascii="Arial" w:eastAsia="Times New Roman" w:hAnsi="Arial" w:cs="Arial"/>
                <w:color w:val="000000"/>
                <w:sz w:val="20"/>
                <w:szCs w:val="20"/>
                <w:lang w:eastAsia="en-GB"/>
              </w:rPr>
              <w:t>Cash and cash equivalents</w:t>
            </w:r>
          </w:p>
        </w:tc>
        <w:tc>
          <w:tcPr>
            <w:tcW w:w="708" w:type="dxa"/>
            <w:tcBorders>
              <w:top w:val="nil"/>
              <w:left w:val="nil"/>
              <w:bottom w:val="nil"/>
              <w:right w:val="nil"/>
            </w:tcBorders>
            <w:shd w:val="clear" w:color="auto" w:fill="auto"/>
            <w:noWrap/>
            <w:vAlign w:val="center"/>
          </w:tcPr>
          <w:p w14:paraId="053FBAD5" w14:textId="77777777" w:rsidR="00672B62" w:rsidRPr="00DD162A" w:rsidRDefault="00672B62" w:rsidP="00672B62">
            <w:pPr>
              <w:jc w:val="center"/>
              <w:rPr>
                <w:rFonts w:ascii="Arial" w:eastAsia="Times New Roman" w:hAnsi="Arial" w:cs="Arial"/>
                <w:color w:val="000000"/>
                <w:sz w:val="20"/>
                <w:szCs w:val="20"/>
                <w:lang w:eastAsia="en-GB"/>
              </w:rPr>
            </w:pPr>
          </w:p>
        </w:tc>
        <w:tc>
          <w:tcPr>
            <w:tcW w:w="1370" w:type="dxa"/>
            <w:tcBorders>
              <w:top w:val="nil"/>
              <w:left w:val="nil"/>
              <w:bottom w:val="nil"/>
              <w:right w:val="nil"/>
            </w:tcBorders>
            <w:vAlign w:val="center"/>
          </w:tcPr>
          <w:p w14:paraId="78EF4169" w14:textId="2690E6AD" w:rsidR="00672B62" w:rsidRPr="00DD162A" w:rsidRDefault="002606FE" w:rsidP="00672B62">
            <w:pPr>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104,096.7</w:t>
            </w:r>
          </w:p>
        </w:tc>
        <w:tc>
          <w:tcPr>
            <w:tcW w:w="1370" w:type="dxa"/>
            <w:tcBorders>
              <w:top w:val="nil"/>
              <w:left w:val="nil"/>
              <w:bottom w:val="nil"/>
              <w:right w:val="nil"/>
            </w:tcBorders>
            <w:shd w:val="clear" w:color="auto" w:fill="auto"/>
            <w:noWrap/>
            <w:vAlign w:val="center"/>
          </w:tcPr>
          <w:p w14:paraId="0DAD56A7" w14:textId="68BED21F" w:rsidR="00672B62" w:rsidRPr="00DD162A" w:rsidRDefault="00672B62" w:rsidP="00672B62">
            <w:pPr>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62,504.5</w:t>
            </w:r>
          </w:p>
        </w:tc>
        <w:tc>
          <w:tcPr>
            <w:tcW w:w="1371" w:type="dxa"/>
            <w:tcBorders>
              <w:top w:val="nil"/>
              <w:left w:val="nil"/>
              <w:bottom w:val="nil"/>
              <w:right w:val="nil"/>
            </w:tcBorders>
            <w:vAlign w:val="center"/>
          </w:tcPr>
          <w:p w14:paraId="4DE201BC" w14:textId="4E1F7E12" w:rsidR="00672B62" w:rsidRPr="00337096" w:rsidRDefault="00672B62" w:rsidP="00672B62">
            <w:pPr>
              <w:ind w:right="-107"/>
              <w:jc w:val="right"/>
              <w:rPr>
                <w:rFonts w:ascii="Arial" w:eastAsia="Times New Roman" w:hAnsi="Arial" w:cs="Arial"/>
                <w:bCs/>
                <w:color w:val="000000"/>
                <w:sz w:val="20"/>
                <w:szCs w:val="20"/>
                <w:lang w:eastAsia="en-GB"/>
              </w:rPr>
            </w:pPr>
            <w:r w:rsidRPr="004F3092">
              <w:rPr>
                <w:rFonts w:ascii="Arial" w:eastAsia="Times New Roman" w:hAnsi="Arial" w:cs="Arial"/>
                <w:color w:val="000000"/>
                <w:sz w:val="20"/>
                <w:szCs w:val="20"/>
                <w:lang w:eastAsia="en-GB"/>
              </w:rPr>
              <w:t>89,721.1</w:t>
            </w:r>
          </w:p>
        </w:tc>
      </w:tr>
      <w:tr w:rsidR="00672B62" w:rsidRPr="00DD162A" w14:paraId="655AFC40" w14:textId="77777777" w:rsidTr="001E5C67">
        <w:trPr>
          <w:trHeight w:val="294"/>
        </w:trPr>
        <w:tc>
          <w:tcPr>
            <w:tcW w:w="4287" w:type="dxa"/>
            <w:tcBorders>
              <w:top w:val="nil"/>
              <w:left w:val="nil"/>
              <w:bottom w:val="nil"/>
              <w:right w:val="nil"/>
            </w:tcBorders>
            <w:shd w:val="clear" w:color="auto" w:fill="auto"/>
            <w:noWrap/>
            <w:vAlign w:val="center"/>
            <w:hideMark/>
          </w:tcPr>
          <w:p w14:paraId="4E1B165A" w14:textId="77777777" w:rsidR="00672B62" w:rsidRPr="00DD162A" w:rsidRDefault="00672B62" w:rsidP="00672B62">
            <w:pPr>
              <w:rPr>
                <w:rFonts w:ascii="Arial" w:eastAsia="Times New Roman" w:hAnsi="Arial" w:cs="Arial"/>
                <w:b/>
                <w:bCs/>
                <w:color w:val="000000"/>
                <w:sz w:val="20"/>
                <w:szCs w:val="20"/>
                <w:lang w:eastAsia="en-GB"/>
              </w:rPr>
            </w:pPr>
            <w:r w:rsidRPr="00DD162A">
              <w:rPr>
                <w:rFonts w:ascii="Arial" w:eastAsia="Times New Roman" w:hAnsi="Arial" w:cs="Arial"/>
                <w:b/>
                <w:bCs/>
                <w:color w:val="000000"/>
                <w:sz w:val="20"/>
                <w:szCs w:val="20"/>
                <w:lang w:eastAsia="en-GB"/>
              </w:rPr>
              <w:t>Total current assets</w:t>
            </w:r>
          </w:p>
        </w:tc>
        <w:tc>
          <w:tcPr>
            <w:tcW w:w="708" w:type="dxa"/>
            <w:tcBorders>
              <w:top w:val="nil"/>
              <w:left w:val="nil"/>
              <w:bottom w:val="nil"/>
              <w:right w:val="nil"/>
            </w:tcBorders>
            <w:shd w:val="clear" w:color="auto" w:fill="auto"/>
            <w:noWrap/>
            <w:vAlign w:val="center"/>
          </w:tcPr>
          <w:p w14:paraId="00355703" w14:textId="77777777" w:rsidR="00672B62" w:rsidRPr="00DD162A" w:rsidRDefault="00672B62" w:rsidP="00672B62">
            <w:pPr>
              <w:jc w:val="center"/>
              <w:rPr>
                <w:rFonts w:ascii="Arial" w:eastAsia="Times New Roman" w:hAnsi="Arial" w:cs="Arial"/>
                <w:b/>
                <w:bCs/>
                <w:color w:val="000000"/>
                <w:sz w:val="20"/>
                <w:szCs w:val="20"/>
                <w:lang w:eastAsia="en-GB"/>
              </w:rPr>
            </w:pPr>
          </w:p>
        </w:tc>
        <w:tc>
          <w:tcPr>
            <w:tcW w:w="1370" w:type="dxa"/>
            <w:tcBorders>
              <w:top w:val="single" w:sz="8" w:space="0" w:color="auto"/>
              <w:left w:val="nil"/>
              <w:bottom w:val="single" w:sz="8" w:space="0" w:color="auto"/>
              <w:right w:val="nil"/>
            </w:tcBorders>
            <w:vAlign w:val="center"/>
          </w:tcPr>
          <w:p w14:paraId="1957B92D" w14:textId="209F8200" w:rsidR="00672B62" w:rsidRPr="00DD162A" w:rsidRDefault="002606FE" w:rsidP="00672B62">
            <w:pPr>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189,939.7</w:t>
            </w:r>
          </w:p>
        </w:tc>
        <w:tc>
          <w:tcPr>
            <w:tcW w:w="1370" w:type="dxa"/>
            <w:tcBorders>
              <w:top w:val="single" w:sz="8" w:space="0" w:color="auto"/>
              <w:left w:val="nil"/>
              <w:bottom w:val="single" w:sz="8" w:space="0" w:color="auto"/>
              <w:right w:val="nil"/>
            </w:tcBorders>
            <w:shd w:val="clear" w:color="auto" w:fill="auto"/>
            <w:vAlign w:val="center"/>
          </w:tcPr>
          <w:p w14:paraId="5567B7D5" w14:textId="7B8FE4F9" w:rsidR="00672B62" w:rsidRPr="00DD162A" w:rsidRDefault="00672B62" w:rsidP="00672B62">
            <w:pPr>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148,240.6</w:t>
            </w:r>
          </w:p>
        </w:tc>
        <w:tc>
          <w:tcPr>
            <w:tcW w:w="1371" w:type="dxa"/>
            <w:tcBorders>
              <w:top w:val="single" w:sz="8" w:space="0" w:color="auto"/>
              <w:left w:val="nil"/>
              <w:bottom w:val="single" w:sz="8" w:space="0" w:color="auto"/>
              <w:right w:val="nil"/>
            </w:tcBorders>
            <w:vAlign w:val="center"/>
          </w:tcPr>
          <w:p w14:paraId="07044F57" w14:textId="7AD136B2" w:rsidR="00672B62" w:rsidRPr="00672B62" w:rsidRDefault="00672B62" w:rsidP="00672B62">
            <w:pPr>
              <w:ind w:right="-107"/>
              <w:jc w:val="right"/>
              <w:rPr>
                <w:rFonts w:ascii="Arial" w:eastAsia="Times New Roman" w:hAnsi="Arial" w:cs="Arial"/>
                <w:b/>
                <w:bCs/>
                <w:color w:val="000000"/>
                <w:sz w:val="20"/>
                <w:szCs w:val="20"/>
                <w:lang w:eastAsia="en-GB"/>
              </w:rPr>
            </w:pPr>
            <w:r w:rsidRPr="00672B62">
              <w:rPr>
                <w:rFonts w:ascii="Arial" w:eastAsia="Times New Roman" w:hAnsi="Arial" w:cs="Arial"/>
                <w:b/>
                <w:bCs/>
                <w:color w:val="000000"/>
                <w:sz w:val="20"/>
                <w:szCs w:val="20"/>
                <w:lang w:eastAsia="en-GB"/>
              </w:rPr>
              <w:t>180,959.4</w:t>
            </w:r>
          </w:p>
        </w:tc>
      </w:tr>
      <w:tr w:rsidR="00672B62" w:rsidRPr="00DD162A" w14:paraId="3B8C3D1F" w14:textId="77777777" w:rsidTr="00B82B88">
        <w:trPr>
          <w:trHeight w:val="288"/>
        </w:trPr>
        <w:tc>
          <w:tcPr>
            <w:tcW w:w="4287" w:type="dxa"/>
            <w:tcBorders>
              <w:top w:val="nil"/>
              <w:left w:val="nil"/>
              <w:bottom w:val="nil"/>
              <w:right w:val="nil"/>
            </w:tcBorders>
            <w:shd w:val="clear" w:color="auto" w:fill="auto"/>
            <w:noWrap/>
            <w:vAlign w:val="center"/>
            <w:hideMark/>
          </w:tcPr>
          <w:p w14:paraId="6E8C0C12" w14:textId="77777777" w:rsidR="00672B62" w:rsidRPr="00DD162A" w:rsidRDefault="00672B62" w:rsidP="00672B62">
            <w:pPr>
              <w:rPr>
                <w:rFonts w:ascii="Arial" w:eastAsia="Times New Roman" w:hAnsi="Arial" w:cs="Arial"/>
                <w:b/>
                <w:bCs/>
                <w:color w:val="000000"/>
                <w:sz w:val="20"/>
                <w:szCs w:val="20"/>
                <w:lang w:eastAsia="en-GB"/>
              </w:rPr>
            </w:pPr>
          </w:p>
        </w:tc>
        <w:tc>
          <w:tcPr>
            <w:tcW w:w="708" w:type="dxa"/>
            <w:tcBorders>
              <w:top w:val="nil"/>
              <w:left w:val="nil"/>
              <w:bottom w:val="nil"/>
              <w:right w:val="nil"/>
            </w:tcBorders>
            <w:shd w:val="clear" w:color="auto" w:fill="auto"/>
            <w:noWrap/>
            <w:vAlign w:val="center"/>
          </w:tcPr>
          <w:p w14:paraId="0DB8132A" w14:textId="77777777" w:rsidR="00672B62" w:rsidRPr="00DD162A" w:rsidRDefault="00672B62" w:rsidP="00672B62">
            <w:pPr>
              <w:jc w:val="center"/>
              <w:rPr>
                <w:rFonts w:ascii="Arial" w:eastAsia="Times New Roman" w:hAnsi="Arial" w:cs="Arial"/>
                <w:sz w:val="20"/>
                <w:szCs w:val="20"/>
                <w:lang w:eastAsia="en-GB"/>
              </w:rPr>
            </w:pPr>
          </w:p>
        </w:tc>
        <w:tc>
          <w:tcPr>
            <w:tcW w:w="1370" w:type="dxa"/>
            <w:tcBorders>
              <w:top w:val="nil"/>
              <w:left w:val="nil"/>
              <w:bottom w:val="nil"/>
              <w:right w:val="nil"/>
            </w:tcBorders>
            <w:vAlign w:val="center"/>
          </w:tcPr>
          <w:p w14:paraId="69C3F936" w14:textId="77777777" w:rsidR="00672B62" w:rsidRPr="00DD162A" w:rsidRDefault="00672B62" w:rsidP="00672B62">
            <w:pPr>
              <w:jc w:val="right"/>
              <w:rPr>
                <w:rFonts w:ascii="Arial" w:eastAsia="Times New Roman" w:hAnsi="Arial" w:cs="Arial"/>
                <w:sz w:val="20"/>
                <w:szCs w:val="20"/>
                <w:lang w:eastAsia="en-GB"/>
              </w:rPr>
            </w:pPr>
          </w:p>
        </w:tc>
        <w:tc>
          <w:tcPr>
            <w:tcW w:w="1370" w:type="dxa"/>
            <w:tcBorders>
              <w:top w:val="nil"/>
              <w:left w:val="nil"/>
              <w:bottom w:val="nil"/>
              <w:right w:val="nil"/>
            </w:tcBorders>
            <w:shd w:val="clear" w:color="auto" w:fill="auto"/>
            <w:noWrap/>
            <w:vAlign w:val="center"/>
          </w:tcPr>
          <w:p w14:paraId="1E3C8D59" w14:textId="77777777" w:rsidR="00672B62" w:rsidRPr="00DD162A" w:rsidRDefault="00672B62" w:rsidP="00672B62">
            <w:pPr>
              <w:jc w:val="right"/>
              <w:rPr>
                <w:rFonts w:ascii="Arial" w:eastAsia="Times New Roman" w:hAnsi="Arial" w:cs="Arial"/>
                <w:sz w:val="20"/>
                <w:szCs w:val="20"/>
                <w:lang w:eastAsia="en-GB"/>
              </w:rPr>
            </w:pPr>
          </w:p>
        </w:tc>
        <w:tc>
          <w:tcPr>
            <w:tcW w:w="1371" w:type="dxa"/>
            <w:tcBorders>
              <w:top w:val="nil"/>
              <w:left w:val="nil"/>
              <w:bottom w:val="nil"/>
              <w:right w:val="nil"/>
            </w:tcBorders>
            <w:vAlign w:val="center"/>
          </w:tcPr>
          <w:p w14:paraId="1407450F" w14:textId="472C4EC3" w:rsidR="00672B62" w:rsidRPr="00337096" w:rsidRDefault="00672B62" w:rsidP="00672B62">
            <w:pPr>
              <w:ind w:right="-107"/>
              <w:jc w:val="right"/>
              <w:rPr>
                <w:rFonts w:ascii="Arial" w:eastAsia="Times New Roman" w:hAnsi="Arial" w:cs="Arial"/>
                <w:b/>
                <w:bCs/>
                <w:color w:val="000000"/>
                <w:sz w:val="20"/>
                <w:szCs w:val="20"/>
                <w:lang w:eastAsia="en-GB"/>
              </w:rPr>
            </w:pPr>
          </w:p>
        </w:tc>
      </w:tr>
      <w:tr w:rsidR="00672B62" w:rsidRPr="00DD162A" w14:paraId="0550922C" w14:textId="77777777" w:rsidTr="00B82B88">
        <w:trPr>
          <w:trHeight w:val="294"/>
        </w:trPr>
        <w:tc>
          <w:tcPr>
            <w:tcW w:w="4287" w:type="dxa"/>
            <w:tcBorders>
              <w:top w:val="nil"/>
              <w:left w:val="nil"/>
              <w:bottom w:val="nil"/>
              <w:right w:val="nil"/>
            </w:tcBorders>
            <w:shd w:val="clear" w:color="auto" w:fill="auto"/>
            <w:noWrap/>
            <w:vAlign w:val="center"/>
            <w:hideMark/>
          </w:tcPr>
          <w:p w14:paraId="0E11A7CE" w14:textId="77777777" w:rsidR="00672B62" w:rsidRPr="00DD162A" w:rsidRDefault="00672B62" w:rsidP="00672B62">
            <w:pPr>
              <w:rPr>
                <w:rFonts w:ascii="Arial" w:eastAsia="Times New Roman" w:hAnsi="Arial" w:cs="Arial"/>
                <w:b/>
                <w:bCs/>
                <w:color w:val="000000"/>
                <w:sz w:val="20"/>
                <w:szCs w:val="20"/>
                <w:lang w:eastAsia="en-GB"/>
              </w:rPr>
            </w:pPr>
            <w:r w:rsidRPr="00DD162A">
              <w:rPr>
                <w:rFonts w:ascii="Arial" w:eastAsia="Times New Roman" w:hAnsi="Arial" w:cs="Arial"/>
                <w:b/>
                <w:bCs/>
                <w:color w:val="000000"/>
                <w:sz w:val="20"/>
                <w:szCs w:val="20"/>
                <w:lang w:eastAsia="en-GB"/>
              </w:rPr>
              <w:t>Total assets</w:t>
            </w:r>
          </w:p>
        </w:tc>
        <w:tc>
          <w:tcPr>
            <w:tcW w:w="708" w:type="dxa"/>
            <w:tcBorders>
              <w:top w:val="nil"/>
              <w:left w:val="nil"/>
              <w:bottom w:val="nil"/>
              <w:right w:val="nil"/>
            </w:tcBorders>
            <w:shd w:val="clear" w:color="auto" w:fill="auto"/>
            <w:noWrap/>
            <w:vAlign w:val="center"/>
          </w:tcPr>
          <w:p w14:paraId="565F3FA2" w14:textId="77777777" w:rsidR="00672B62" w:rsidRPr="00DD162A" w:rsidRDefault="00672B62" w:rsidP="00672B62">
            <w:pPr>
              <w:jc w:val="center"/>
              <w:rPr>
                <w:rFonts w:ascii="Arial" w:eastAsia="Times New Roman" w:hAnsi="Arial" w:cs="Arial"/>
                <w:b/>
                <w:bCs/>
                <w:color w:val="000000"/>
                <w:sz w:val="20"/>
                <w:szCs w:val="20"/>
                <w:lang w:eastAsia="en-GB"/>
              </w:rPr>
            </w:pPr>
          </w:p>
        </w:tc>
        <w:tc>
          <w:tcPr>
            <w:tcW w:w="1370" w:type="dxa"/>
            <w:tcBorders>
              <w:top w:val="nil"/>
              <w:left w:val="nil"/>
              <w:bottom w:val="single" w:sz="8" w:space="0" w:color="auto"/>
              <w:right w:val="nil"/>
            </w:tcBorders>
            <w:vAlign w:val="center"/>
          </w:tcPr>
          <w:p w14:paraId="1F1913BA" w14:textId="0AD501AA" w:rsidR="00672B62" w:rsidRPr="00DD162A" w:rsidRDefault="00385144" w:rsidP="00672B62">
            <w:pPr>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238,716.2</w:t>
            </w:r>
          </w:p>
        </w:tc>
        <w:tc>
          <w:tcPr>
            <w:tcW w:w="1370" w:type="dxa"/>
            <w:tcBorders>
              <w:top w:val="nil"/>
              <w:left w:val="nil"/>
              <w:bottom w:val="single" w:sz="8" w:space="0" w:color="auto"/>
              <w:right w:val="nil"/>
            </w:tcBorders>
            <w:shd w:val="clear" w:color="auto" w:fill="auto"/>
            <w:vAlign w:val="center"/>
          </w:tcPr>
          <w:p w14:paraId="2016934D" w14:textId="5A500C02" w:rsidR="00672B62" w:rsidRPr="00DD162A" w:rsidRDefault="00672B62" w:rsidP="00672B62">
            <w:pPr>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194,096.3</w:t>
            </w:r>
          </w:p>
        </w:tc>
        <w:tc>
          <w:tcPr>
            <w:tcW w:w="1371" w:type="dxa"/>
            <w:tcBorders>
              <w:top w:val="nil"/>
              <w:left w:val="nil"/>
              <w:bottom w:val="single" w:sz="8" w:space="0" w:color="auto"/>
              <w:right w:val="nil"/>
            </w:tcBorders>
          </w:tcPr>
          <w:p w14:paraId="1D1DA473" w14:textId="578A9998" w:rsidR="00672B62" w:rsidRPr="00A64700" w:rsidRDefault="00A64700" w:rsidP="00672B62">
            <w:pPr>
              <w:ind w:right="-107"/>
              <w:jc w:val="right"/>
              <w:rPr>
                <w:rFonts w:ascii="Arial" w:eastAsia="Times New Roman" w:hAnsi="Arial" w:cs="Arial"/>
                <w:b/>
                <w:bCs/>
                <w:color w:val="000000"/>
                <w:sz w:val="20"/>
                <w:szCs w:val="20"/>
                <w:lang w:eastAsia="en-GB"/>
              </w:rPr>
            </w:pPr>
            <w:r w:rsidRPr="00A64700">
              <w:rPr>
                <w:rFonts w:ascii="Arial" w:eastAsia="Times New Roman" w:hAnsi="Arial" w:cs="Arial"/>
                <w:b/>
                <w:bCs/>
                <w:color w:val="000000"/>
                <w:sz w:val="20"/>
                <w:szCs w:val="20"/>
                <w:lang w:eastAsia="en-GB"/>
              </w:rPr>
              <w:t>225,384.4</w:t>
            </w:r>
          </w:p>
        </w:tc>
      </w:tr>
      <w:tr w:rsidR="00672B62" w:rsidRPr="00DD162A" w14:paraId="080DC033" w14:textId="77777777" w:rsidTr="00B82B88">
        <w:trPr>
          <w:trHeight w:val="288"/>
        </w:trPr>
        <w:tc>
          <w:tcPr>
            <w:tcW w:w="4287" w:type="dxa"/>
            <w:tcBorders>
              <w:top w:val="nil"/>
              <w:left w:val="nil"/>
              <w:bottom w:val="nil"/>
              <w:right w:val="nil"/>
            </w:tcBorders>
            <w:shd w:val="clear" w:color="auto" w:fill="auto"/>
            <w:noWrap/>
            <w:vAlign w:val="center"/>
            <w:hideMark/>
          </w:tcPr>
          <w:p w14:paraId="7F0449D8" w14:textId="77777777" w:rsidR="00672B62" w:rsidRPr="00DD162A" w:rsidRDefault="00672B62" w:rsidP="00672B62">
            <w:pPr>
              <w:rPr>
                <w:rFonts w:ascii="Arial" w:eastAsia="Times New Roman" w:hAnsi="Arial" w:cs="Arial"/>
                <w:b/>
                <w:bCs/>
                <w:color w:val="000000"/>
                <w:sz w:val="20"/>
                <w:szCs w:val="20"/>
                <w:lang w:eastAsia="en-GB"/>
              </w:rPr>
            </w:pPr>
          </w:p>
        </w:tc>
        <w:tc>
          <w:tcPr>
            <w:tcW w:w="708" w:type="dxa"/>
            <w:tcBorders>
              <w:top w:val="nil"/>
              <w:left w:val="nil"/>
              <w:bottom w:val="nil"/>
              <w:right w:val="nil"/>
            </w:tcBorders>
            <w:shd w:val="clear" w:color="auto" w:fill="auto"/>
            <w:noWrap/>
            <w:vAlign w:val="center"/>
          </w:tcPr>
          <w:p w14:paraId="6291D595" w14:textId="77777777" w:rsidR="00672B62" w:rsidRPr="00DD162A" w:rsidRDefault="00672B62" w:rsidP="00672B62">
            <w:pPr>
              <w:jc w:val="center"/>
              <w:rPr>
                <w:rFonts w:ascii="Arial" w:eastAsia="Times New Roman" w:hAnsi="Arial" w:cs="Arial"/>
                <w:sz w:val="20"/>
                <w:szCs w:val="20"/>
                <w:lang w:eastAsia="en-GB"/>
              </w:rPr>
            </w:pPr>
          </w:p>
        </w:tc>
        <w:tc>
          <w:tcPr>
            <w:tcW w:w="1370" w:type="dxa"/>
            <w:tcBorders>
              <w:top w:val="nil"/>
              <w:left w:val="nil"/>
              <w:bottom w:val="nil"/>
              <w:right w:val="nil"/>
            </w:tcBorders>
            <w:vAlign w:val="center"/>
          </w:tcPr>
          <w:p w14:paraId="0FBBA78C" w14:textId="77777777" w:rsidR="00672B62" w:rsidRPr="00DD162A" w:rsidRDefault="00672B62" w:rsidP="00672B62">
            <w:pPr>
              <w:jc w:val="right"/>
              <w:rPr>
                <w:rFonts w:ascii="Arial" w:eastAsia="Times New Roman" w:hAnsi="Arial" w:cs="Arial"/>
                <w:sz w:val="20"/>
                <w:szCs w:val="20"/>
                <w:lang w:eastAsia="en-GB"/>
              </w:rPr>
            </w:pPr>
          </w:p>
        </w:tc>
        <w:tc>
          <w:tcPr>
            <w:tcW w:w="1370" w:type="dxa"/>
            <w:tcBorders>
              <w:top w:val="nil"/>
              <w:left w:val="nil"/>
              <w:bottom w:val="nil"/>
              <w:right w:val="nil"/>
            </w:tcBorders>
            <w:shd w:val="clear" w:color="auto" w:fill="auto"/>
            <w:noWrap/>
            <w:vAlign w:val="center"/>
          </w:tcPr>
          <w:p w14:paraId="2D176759" w14:textId="77777777" w:rsidR="00672B62" w:rsidRPr="00DD162A" w:rsidRDefault="00672B62" w:rsidP="00672B62">
            <w:pPr>
              <w:jc w:val="right"/>
              <w:rPr>
                <w:rFonts w:ascii="Arial" w:eastAsia="Times New Roman" w:hAnsi="Arial" w:cs="Arial"/>
                <w:sz w:val="20"/>
                <w:szCs w:val="20"/>
                <w:lang w:eastAsia="en-GB"/>
              </w:rPr>
            </w:pPr>
          </w:p>
        </w:tc>
        <w:tc>
          <w:tcPr>
            <w:tcW w:w="1371" w:type="dxa"/>
            <w:tcBorders>
              <w:top w:val="nil"/>
              <w:left w:val="nil"/>
              <w:bottom w:val="nil"/>
              <w:right w:val="nil"/>
            </w:tcBorders>
          </w:tcPr>
          <w:p w14:paraId="75E491BA" w14:textId="77777777" w:rsidR="00672B62" w:rsidRPr="00337096" w:rsidRDefault="00672B62" w:rsidP="00672B62">
            <w:pPr>
              <w:ind w:right="-107"/>
              <w:jc w:val="right"/>
              <w:rPr>
                <w:rFonts w:ascii="Arial" w:eastAsia="Times New Roman" w:hAnsi="Arial" w:cs="Arial"/>
                <w:b/>
                <w:bCs/>
                <w:color w:val="000000"/>
                <w:sz w:val="20"/>
                <w:szCs w:val="20"/>
                <w:lang w:eastAsia="en-GB"/>
              </w:rPr>
            </w:pPr>
          </w:p>
        </w:tc>
      </w:tr>
      <w:tr w:rsidR="00672B62" w:rsidRPr="00DD162A" w14:paraId="2C959543" w14:textId="77777777" w:rsidTr="00B82B88">
        <w:trPr>
          <w:trHeight w:val="288"/>
        </w:trPr>
        <w:tc>
          <w:tcPr>
            <w:tcW w:w="4287" w:type="dxa"/>
            <w:tcBorders>
              <w:top w:val="nil"/>
              <w:left w:val="nil"/>
              <w:bottom w:val="nil"/>
              <w:right w:val="nil"/>
            </w:tcBorders>
            <w:shd w:val="clear" w:color="auto" w:fill="auto"/>
            <w:noWrap/>
            <w:vAlign w:val="center"/>
            <w:hideMark/>
          </w:tcPr>
          <w:p w14:paraId="129329EA" w14:textId="77777777" w:rsidR="00672B62" w:rsidRPr="00DD162A" w:rsidRDefault="00672B62" w:rsidP="00672B62">
            <w:pPr>
              <w:rPr>
                <w:rFonts w:ascii="Arial" w:eastAsia="Times New Roman" w:hAnsi="Arial" w:cs="Arial"/>
                <w:b/>
                <w:bCs/>
                <w:color w:val="000000"/>
                <w:sz w:val="20"/>
                <w:szCs w:val="20"/>
                <w:lang w:eastAsia="en-GB"/>
              </w:rPr>
            </w:pPr>
            <w:r w:rsidRPr="00DD162A">
              <w:rPr>
                <w:rFonts w:ascii="Arial" w:eastAsia="Times New Roman" w:hAnsi="Arial" w:cs="Arial"/>
                <w:b/>
                <w:bCs/>
                <w:color w:val="000000"/>
                <w:sz w:val="20"/>
                <w:szCs w:val="20"/>
                <w:lang w:eastAsia="en-GB"/>
              </w:rPr>
              <w:t>Current liabilities</w:t>
            </w:r>
          </w:p>
        </w:tc>
        <w:tc>
          <w:tcPr>
            <w:tcW w:w="708" w:type="dxa"/>
            <w:tcBorders>
              <w:top w:val="nil"/>
              <w:left w:val="nil"/>
              <w:bottom w:val="nil"/>
              <w:right w:val="nil"/>
            </w:tcBorders>
            <w:shd w:val="clear" w:color="auto" w:fill="auto"/>
            <w:noWrap/>
            <w:vAlign w:val="center"/>
          </w:tcPr>
          <w:p w14:paraId="32BBB121" w14:textId="77777777" w:rsidR="00672B62" w:rsidRPr="00DD162A" w:rsidRDefault="00672B62" w:rsidP="00672B62">
            <w:pPr>
              <w:jc w:val="center"/>
              <w:rPr>
                <w:rFonts w:ascii="Arial" w:eastAsia="Times New Roman" w:hAnsi="Arial" w:cs="Arial"/>
                <w:b/>
                <w:bCs/>
                <w:color w:val="000000"/>
                <w:sz w:val="20"/>
                <w:szCs w:val="20"/>
                <w:lang w:eastAsia="en-GB"/>
              </w:rPr>
            </w:pPr>
          </w:p>
        </w:tc>
        <w:tc>
          <w:tcPr>
            <w:tcW w:w="1370" w:type="dxa"/>
            <w:tcBorders>
              <w:top w:val="nil"/>
              <w:left w:val="nil"/>
              <w:bottom w:val="nil"/>
              <w:right w:val="nil"/>
            </w:tcBorders>
            <w:vAlign w:val="center"/>
          </w:tcPr>
          <w:p w14:paraId="6586FE87" w14:textId="77777777" w:rsidR="00672B62" w:rsidRPr="00DD162A" w:rsidRDefault="00672B62" w:rsidP="00672B62">
            <w:pPr>
              <w:jc w:val="right"/>
              <w:rPr>
                <w:rFonts w:ascii="Arial" w:eastAsia="Times New Roman" w:hAnsi="Arial" w:cs="Arial"/>
                <w:sz w:val="20"/>
                <w:szCs w:val="20"/>
                <w:lang w:eastAsia="en-GB"/>
              </w:rPr>
            </w:pPr>
          </w:p>
        </w:tc>
        <w:tc>
          <w:tcPr>
            <w:tcW w:w="1370" w:type="dxa"/>
            <w:tcBorders>
              <w:top w:val="nil"/>
              <w:left w:val="nil"/>
              <w:bottom w:val="nil"/>
              <w:right w:val="nil"/>
            </w:tcBorders>
            <w:shd w:val="clear" w:color="auto" w:fill="auto"/>
            <w:noWrap/>
            <w:vAlign w:val="center"/>
          </w:tcPr>
          <w:p w14:paraId="06DF5C16" w14:textId="77777777" w:rsidR="00672B62" w:rsidRPr="00DD162A" w:rsidRDefault="00672B62" w:rsidP="00672B62">
            <w:pPr>
              <w:jc w:val="right"/>
              <w:rPr>
                <w:rFonts w:ascii="Arial" w:eastAsia="Times New Roman" w:hAnsi="Arial" w:cs="Arial"/>
                <w:sz w:val="20"/>
                <w:szCs w:val="20"/>
                <w:lang w:eastAsia="en-GB"/>
              </w:rPr>
            </w:pPr>
          </w:p>
        </w:tc>
        <w:tc>
          <w:tcPr>
            <w:tcW w:w="1371" w:type="dxa"/>
            <w:tcBorders>
              <w:top w:val="nil"/>
              <w:left w:val="nil"/>
              <w:bottom w:val="nil"/>
              <w:right w:val="nil"/>
            </w:tcBorders>
            <w:vAlign w:val="center"/>
          </w:tcPr>
          <w:p w14:paraId="41DC5FB4" w14:textId="77777777" w:rsidR="00672B62" w:rsidRPr="00337096" w:rsidRDefault="00672B62" w:rsidP="00672B62">
            <w:pPr>
              <w:ind w:right="-107"/>
              <w:jc w:val="right"/>
              <w:rPr>
                <w:rFonts w:ascii="Arial" w:eastAsia="Times New Roman" w:hAnsi="Arial" w:cs="Arial"/>
                <w:b/>
                <w:bCs/>
                <w:color w:val="000000"/>
                <w:sz w:val="20"/>
                <w:szCs w:val="20"/>
                <w:lang w:eastAsia="en-GB"/>
              </w:rPr>
            </w:pPr>
          </w:p>
        </w:tc>
      </w:tr>
      <w:tr w:rsidR="00A64700" w:rsidRPr="00DD162A" w14:paraId="281E3710" w14:textId="77777777" w:rsidTr="00B82B88">
        <w:trPr>
          <w:trHeight w:val="288"/>
        </w:trPr>
        <w:tc>
          <w:tcPr>
            <w:tcW w:w="4287" w:type="dxa"/>
            <w:tcBorders>
              <w:top w:val="nil"/>
              <w:left w:val="nil"/>
              <w:bottom w:val="nil"/>
              <w:right w:val="nil"/>
            </w:tcBorders>
            <w:shd w:val="clear" w:color="auto" w:fill="auto"/>
            <w:noWrap/>
            <w:vAlign w:val="center"/>
            <w:hideMark/>
          </w:tcPr>
          <w:p w14:paraId="018BE51D" w14:textId="77777777" w:rsidR="00A64700" w:rsidRPr="00DD162A" w:rsidRDefault="00A64700" w:rsidP="00A64700">
            <w:pPr>
              <w:rPr>
                <w:rFonts w:ascii="Arial" w:eastAsia="Times New Roman" w:hAnsi="Arial" w:cs="Arial"/>
                <w:color w:val="000000"/>
                <w:sz w:val="20"/>
                <w:szCs w:val="20"/>
                <w:lang w:eastAsia="en-GB"/>
              </w:rPr>
            </w:pPr>
            <w:r w:rsidRPr="00DD162A">
              <w:rPr>
                <w:rFonts w:ascii="Arial" w:eastAsia="Times New Roman" w:hAnsi="Arial" w:cs="Arial"/>
                <w:color w:val="000000"/>
                <w:sz w:val="20"/>
                <w:szCs w:val="20"/>
                <w:lang w:eastAsia="en-GB"/>
              </w:rPr>
              <w:t>Trade and other payables</w:t>
            </w:r>
          </w:p>
        </w:tc>
        <w:tc>
          <w:tcPr>
            <w:tcW w:w="708" w:type="dxa"/>
            <w:tcBorders>
              <w:top w:val="nil"/>
              <w:left w:val="nil"/>
              <w:bottom w:val="nil"/>
              <w:right w:val="nil"/>
            </w:tcBorders>
            <w:shd w:val="clear" w:color="auto" w:fill="auto"/>
            <w:noWrap/>
            <w:vAlign w:val="center"/>
          </w:tcPr>
          <w:p w14:paraId="6EE13EBB" w14:textId="77777777" w:rsidR="00A64700" w:rsidRPr="00DD162A" w:rsidRDefault="00A64700" w:rsidP="00A64700">
            <w:pPr>
              <w:jc w:val="center"/>
              <w:rPr>
                <w:rFonts w:ascii="Arial" w:eastAsia="Times New Roman" w:hAnsi="Arial" w:cs="Arial"/>
                <w:color w:val="000000"/>
                <w:sz w:val="20"/>
                <w:szCs w:val="20"/>
                <w:lang w:eastAsia="en-GB"/>
              </w:rPr>
            </w:pPr>
          </w:p>
        </w:tc>
        <w:tc>
          <w:tcPr>
            <w:tcW w:w="1370" w:type="dxa"/>
            <w:tcBorders>
              <w:top w:val="nil"/>
              <w:left w:val="nil"/>
              <w:bottom w:val="nil"/>
              <w:right w:val="nil"/>
            </w:tcBorders>
            <w:vAlign w:val="center"/>
          </w:tcPr>
          <w:p w14:paraId="52308ACA" w14:textId="0F7BECC1" w:rsidR="00A64700" w:rsidRPr="00DD162A" w:rsidRDefault="00385144" w:rsidP="00A64700">
            <w:pPr>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(29,921.5)</w:t>
            </w:r>
          </w:p>
        </w:tc>
        <w:tc>
          <w:tcPr>
            <w:tcW w:w="1370" w:type="dxa"/>
            <w:tcBorders>
              <w:top w:val="nil"/>
              <w:left w:val="nil"/>
              <w:bottom w:val="nil"/>
              <w:right w:val="nil"/>
            </w:tcBorders>
            <w:shd w:val="clear" w:color="auto" w:fill="auto"/>
            <w:noWrap/>
            <w:vAlign w:val="center"/>
          </w:tcPr>
          <w:p w14:paraId="2B493A54" w14:textId="4BE983C4" w:rsidR="00A64700" w:rsidRPr="00DD162A" w:rsidRDefault="00A64700" w:rsidP="00A64700">
            <w:pPr>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(32,966.6)</w:t>
            </w:r>
          </w:p>
        </w:tc>
        <w:tc>
          <w:tcPr>
            <w:tcW w:w="1371" w:type="dxa"/>
            <w:tcBorders>
              <w:top w:val="nil"/>
              <w:left w:val="nil"/>
              <w:bottom w:val="nil"/>
              <w:right w:val="nil"/>
            </w:tcBorders>
            <w:vAlign w:val="center"/>
          </w:tcPr>
          <w:p w14:paraId="334F8547" w14:textId="298275E0" w:rsidR="00A64700" w:rsidRPr="00337096" w:rsidRDefault="00A64700" w:rsidP="00A64700">
            <w:pPr>
              <w:ind w:right="-107"/>
              <w:jc w:val="right"/>
              <w:rPr>
                <w:rFonts w:ascii="Arial" w:eastAsia="Times New Roman" w:hAnsi="Arial" w:cs="Arial"/>
                <w:bCs/>
                <w:color w:val="000000"/>
                <w:sz w:val="20"/>
                <w:szCs w:val="20"/>
                <w:lang w:eastAsia="en-GB"/>
              </w:rPr>
            </w:pPr>
            <w:r w:rsidRPr="004F3092">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33,033.2</w:t>
            </w:r>
            <w:r w:rsidRPr="004F3092">
              <w:rPr>
                <w:rFonts w:ascii="Arial" w:eastAsia="Times New Roman" w:hAnsi="Arial" w:cs="Arial"/>
                <w:color w:val="000000"/>
                <w:sz w:val="20"/>
                <w:szCs w:val="20"/>
                <w:lang w:eastAsia="en-GB"/>
              </w:rPr>
              <w:t>)</w:t>
            </w:r>
          </w:p>
        </w:tc>
      </w:tr>
      <w:tr w:rsidR="00A64700" w:rsidRPr="00337096" w14:paraId="36F7B640" w14:textId="77777777" w:rsidTr="00150D5C">
        <w:trPr>
          <w:trHeight w:val="288"/>
        </w:trPr>
        <w:tc>
          <w:tcPr>
            <w:tcW w:w="4287" w:type="dxa"/>
            <w:tcBorders>
              <w:top w:val="nil"/>
              <w:left w:val="nil"/>
              <w:bottom w:val="nil"/>
              <w:right w:val="nil"/>
            </w:tcBorders>
            <w:shd w:val="clear" w:color="auto" w:fill="auto"/>
            <w:noWrap/>
            <w:vAlign w:val="center"/>
          </w:tcPr>
          <w:p w14:paraId="1277B3D8" w14:textId="5E14F2FD" w:rsidR="00A64700" w:rsidRDefault="00A64700" w:rsidP="00A64700">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Loans and borrowings</w:t>
            </w:r>
          </w:p>
        </w:tc>
        <w:tc>
          <w:tcPr>
            <w:tcW w:w="708" w:type="dxa"/>
            <w:tcBorders>
              <w:top w:val="nil"/>
              <w:left w:val="nil"/>
              <w:bottom w:val="nil"/>
              <w:right w:val="nil"/>
            </w:tcBorders>
            <w:shd w:val="clear" w:color="auto" w:fill="auto"/>
            <w:noWrap/>
            <w:vAlign w:val="center"/>
          </w:tcPr>
          <w:p w14:paraId="153B3220" w14:textId="77777777" w:rsidR="00A64700" w:rsidRPr="00DD162A" w:rsidRDefault="00A64700" w:rsidP="00A64700">
            <w:pPr>
              <w:jc w:val="center"/>
              <w:rPr>
                <w:rFonts w:ascii="Arial" w:eastAsia="Times New Roman" w:hAnsi="Arial" w:cs="Arial"/>
                <w:color w:val="000000"/>
                <w:sz w:val="20"/>
                <w:szCs w:val="20"/>
                <w:lang w:eastAsia="en-GB"/>
              </w:rPr>
            </w:pPr>
          </w:p>
        </w:tc>
        <w:tc>
          <w:tcPr>
            <w:tcW w:w="1370" w:type="dxa"/>
            <w:tcBorders>
              <w:top w:val="nil"/>
              <w:left w:val="nil"/>
              <w:bottom w:val="nil"/>
              <w:right w:val="nil"/>
            </w:tcBorders>
            <w:vAlign w:val="center"/>
          </w:tcPr>
          <w:p w14:paraId="1AFEA223" w14:textId="2036530D" w:rsidR="00A64700" w:rsidRDefault="00385144" w:rsidP="00A64700">
            <w:pPr>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p>
        </w:tc>
        <w:tc>
          <w:tcPr>
            <w:tcW w:w="1370" w:type="dxa"/>
            <w:tcBorders>
              <w:top w:val="nil"/>
              <w:left w:val="nil"/>
              <w:bottom w:val="nil"/>
              <w:right w:val="nil"/>
            </w:tcBorders>
            <w:shd w:val="clear" w:color="auto" w:fill="auto"/>
            <w:noWrap/>
            <w:vAlign w:val="center"/>
          </w:tcPr>
          <w:p w14:paraId="359EC825" w14:textId="5870C447" w:rsidR="00A64700" w:rsidRDefault="00A64700" w:rsidP="00A64700">
            <w:pPr>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(6,075.0)</w:t>
            </w:r>
          </w:p>
        </w:tc>
        <w:tc>
          <w:tcPr>
            <w:tcW w:w="1371" w:type="dxa"/>
            <w:tcBorders>
              <w:top w:val="nil"/>
              <w:left w:val="nil"/>
              <w:bottom w:val="nil"/>
              <w:right w:val="nil"/>
            </w:tcBorders>
            <w:vAlign w:val="center"/>
          </w:tcPr>
          <w:p w14:paraId="27710C75" w14:textId="0CF0C927" w:rsidR="00A64700" w:rsidRDefault="00A64700" w:rsidP="00A64700">
            <w:pPr>
              <w:ind w:right="-107"/>
              <w:jc w:val="right"/>
              <w:rPr>
                <w:rFonts w:ascii="Arial" w:eastAsia="Times New Roman" w:hAnsi="Arial" w:cs="Arial"/>
                <w:bCs/>
                <w:color w:val="000000"/>
                <w:sz w:val="20"/>
                <w:szCs w:val="20"/>
                <w:lang w:eastAsia="en-GB"/>
              </w:rPr>
            </w:pPr>
            <w:r w:rsidRPr="004F3092">
              <w:rPr>
                <w:rFonts w:ascii="Arial" w:eastAsia="Times New Roman" w:hAnsi="Arial" w:cs="Arial"/>
                <w:color w:val="000000"/>
                <w:sz w:val="20"/>
                <w:szCs w:val="20"/>
                <w:lang w:eastAsia="en-GB"/>
              </w:rPr>
              <w:t>(6,075.0)</w:t>
            </w:r>
          </w:p>
        </w:tc>
      </w:tr>
      <w:tr w:rsidR="00A64700" w:rsidRPr="00337096" w14:paraId="08FC29A7" w14:textId="77777777" w:rsidTr="00B82B88">
        <w:trPr>
          <w:trHeight w:val="288"/>
        </w:trPr>
        <w:tc>
          <w:tcPr>
            <w:tcW w:w="4287" w:type="dxa"/>
            <w:tcBorders>
              <w:top w:val="nil"/>
              <w:left w:val="nil"/>
              <w:bottom w:val="nil"/>
              <w:right w:val="nil"/>
            </w:tcBorders>
            <w:shd w:val="clear" w:color="auto" w:fill="auto"/>
            <w:noWrap/>
            <w:vAlign w:val="center"/>
          </w:tcPr>
          <w:p w14:paraId="2A331749" w14:textId="77777777" w:rsidR="00A64700" w:rsidRPr="00DD162A" w:rsidRDefault="00A64700" w:rsidP="00A64700">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Corporation tax liability</w:t>
            </w:r>
          </w:p>
        </w:tc>
        <w:tc>
          <w:tcPr>
            <w:tcW w:w="708" w:type="dxa"/>
            <w:tcBorders>
              <w:top w:val="nil"/>
              <w:left w:val="nil"/>
              <w:bottom w:val="nil"/>
              <w:right w:val="nil"/>
            </w:tcBorders>
            <w:shd w:val="clear" w:color="auto" w:fill="auto"/>
            <w:noWrap/>
            <w:vAlign w:val="center"/>
          </w:tcPr>
          <w:p w14:paraId="05112763" w14:textId="77777777" w:rsidR="00A64700" w:rsidRPr="00DD162A" w:rsidRDefault="00A64700" w:rsidP="00A64700">
            <w:pPr>
              <w:jc w:val="center"/>
              <w:rPr>
                <w:rFonts w:ascii="Arial" w:eastAsia="Times New Roman" w:hAnsi="Arial" w:cs="Arial"/>
                <w:color w:val="000000"/>
                <w:sz w:val="20"/>
                <w:szCs w:val="20"/>
                <w:lang w:eastAsia="en-GB"/>
              </w:rPr>
            </w:pPr>
          </w:p>
        </w:tc>
        <w:tc>
          <w:tcPr>
            <w:tcW w:w="1370" w:type="dxa"/>
            <w:tcBorders>
              <w:top w:val="nil"/>
              <w:left w:val="nil"/>
              <w:bottom w:val="nil"/>
              <w:right w:val="nil"/>
            </w:tcBorders>
            <w:vAlign w:val="center"/>
          </w:tcPr>
          <w:p w14:paraId="7E20A899" w14:textId="75FC76C8" w:rsidR="00A64700" w:rsidRPr="00DD162A" w:rsidRDefault="00385144" w:rsidP="00A64700">
            <w:pPr>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(5,917.5)</w:t>
            </w:r>
          </w:p>
        </w:tc>
        <w:tc>
          <w:tcPr>
            <w:tcW w:w="1370" w:type="dxa"/>
            <w:tcBorders>
              <w:top w:val="nil"/>
              <w:left w:val="nil"/>
              <w:bottom w:val="nil"/>
              <w:right w:val="nil"/>
            </w:tcBorders>
            <w:shd w:val="clear" w:color="auto" w:fill="auto"/>
            <w:noWrap/>
            <w:vAlign w:val="center"/>
          </w:tcPr>
          <w:p w14:paraId="45F0F928" w14:textId="7926BBF8" w:rsidR="00A64700" w:rsidRPr="00DD162A" w:rsidRDefault="00A64700" w:rsidP="00A64700">
            <w:pPr>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(6,177.8)</w:t>
            </w:r>
          </w:p>
        </w:tc>
        <w:tc>
          <w:tcPr>
            <w:tcW w:w="1371" w:type="dxa"/>
            <w:tcBorders>
              <w:top w:val="nil"/>
              <w:left w:val="nil"/>
              <w:bottom w:val="nil"/>
              <w:right w:val="nil"/>
            </w:tcBorders>
            <w:vAlign w:val="center"/>
          </w:tcPr>
          <w:p w14:paraId="48934BDF" w14:textId="0C61882E" w:rsidR="00A64700" w:rsidRPr="00337096" w:rsidRDefault="00A64700" w:rsidP="00A64700">
            <w:pPr>
              <w:ind w:right="-107"/>
              <w:jc w:val="right"/>
              <w:rPr>
                <w:rFonts w:ascii="Arial" w:eastAsia="Times New Roman" w:hAnsi="Arial" w:cs="Arial"/>
                <w:bCs/>
                <w:color w:val="000000"/>
                <w:sz w:val="20"/>
                <w:szCs w:val="20"/>
                <w:lang w:eastAsia="en-GB"/>
              </w:rPr>
            </w:pPr>
            <w:r w:rsidRPr="004F3092">
              <w:rPr>
                <w:rFonts w:ascii="Arial" w:eastAsia="Times New Roman" w:hAnsi="Arial" w:cs="Arial"/>
                <w:color w:val="000000"/>
                <w:sz w:val="20"/>
                <w:szCs w:val="20"/>
                <w:lang w:eastAsia="en-GB"/>
              </w:rPr>
              <w:t>(2,607.7)</w:t>
            </w:r>
          </w:p>
        </w:tc>
      </w:tr>
      <w:tr w:rsidR="00A64700" w:rsidRPr="00DD162A" w14:paraId="48248A8E" w14:textId="77777777" w:rsidTr="00914DD6">
        <w:trPr>
          <w:trHeight w:val="294"/>
        </w:trPr>
        <w:tc>
          <w:tcPr>
            <w:tcW w:w="4287" w:type="dxa"/>
            <w:tcBorders>
              <w:top w:val="nil"/>
              <w:left w:val="nil"/>
              <w:bottom w:val="nil"/>
              <w:right w:val="nil"/>
            </w:tcBorders>
            <w:shd w:val="clear" w:color="auto" w:fill="auto"/>
            <w:noWrap/>
            <w:vAlign w:val="center"/>
            <w:hideMark/>
          </w:tcPr>
          <w:p w14:paraId="4CD6B266" w14:textId="77777777" w:rsidR="00A64700" w:rsidRPr="00DD162A" w:rsidRDefault="00A64700" w:rsidP="00A64700">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Derivative financial instruments</w:t>
            </w:r>
          </w:p>
        </w:tc>
        <w:tc>
          <w:tcPr>
            <w:tcW w:w="708" w:type="dxa"/>
            <w:tcBorders>
              <w:top w:val="nil"/>
              <w:left w:val="nil"/>
              <w:bottom w:val="nil"/>
              <w:right w:val="nil"/>
            </w:tcBorders>
            <w:shd w:val="clear" w:color="auto" w:fill="auto"/>
            <w:noWrap/>
            <w:vAlign w:val="center"/>
          </w:tcPr>
          <w:p w14:paraId="6386DEE0" w14:textId="77777777" w:rsidR="00A64700" w:rsidRPr="00DD162A" w:rsidRDefault="00A64700" w:rsidP="00A64700">
            <w:pPr>
              <w:jc w:val="center"/>
              <w:rPr>
                <w:rFonts w:ascii="Arial" w:eastAsia="Times New Roman" w:hAnsi="Arial" w:cs="Arial"/>
                <w:color w:val="000000"/>
                <w:sz w:val="20"/>
                <w:szCs w:val="20"/>
                <w:lang w:eastAsia="en-GB"/>
              </w:rPr>
            </w:pPr>
          </w:p>
        </w:tc>
        <w:tc>
          <w:tcPr>
            <w:tcW w:w="1370" w:type="dxa"/>
            <w:tcBorders>
              <w:top w:val="nil"/>
              <w:left w:val="nil"/>
              <w:right w:val="nil"/>
            </w:tcBorders>
            <w:vAlign w:val="center"/>
          </w:tcPr>
          <w:p w14:paraId="48211FD3" w14:textId="49AA7400" w:rsidR="00A64700" w:rsidRPr="00DD162A" w:rsidRDefault="00385144" w:rsidP="00A64700">
            <w:pPr>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(317.1)</w:t>
            </w:r>
          </w:p>
        </w:tc>
        <w:tc>
          <w:tcPr>
            <w:tcW w:w="1370" w:type="dxa"/>
            <w:tcBorders>
              <w:top w:val="nil"/>
              <w:left w:val="nil"/>
              <w:right w:val="nil"/>
            </w:tcBorders>
            <w:shd w:val="clear" w:color="auto" w:fill="auto"/>
            <w:noWrap/>
            <w:vAlign w:val="center"/>
          </w:tcPr>
          <w:p w14:paraId="39CEC36F" w14:textId="5E0613AD" w:rsidR="00A64700" w:rsidRPr="00DD162A" w:rsidRDefault="00A64700" w:rsidP="00A64700">
            <w:pPr>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(13.1)</w:t>
            </w:r>
          </w:p>
        </w:tc>
        <w:tc>
          <w:tcPr>
            <w:tcW w:w="1371" w:type="dxa"/>
            <w:tcBorders>
              <w:top w:val="nil"/>
              <w:left w:val="nil"/>
              <w:right w:val="nil"/>
            </w:tcBorders>
            <w:vAlign w:val="center"/>
          </w:tcPr>
          <w:p w14:paraId="4C2C54BC" w14:textId="14B20A3B" w:rsidR="00A64700" w:rsidRPr="00337096" w:rsidRDefault="00A64700" w:rsidP="00A64700">
            <w:pPr>
              <w:ind w:right="-107"/>
              <w:jc w:val="right"/>
              <w:rPr>
                <w:rFonts w:ascii="Arial" w:eastAsia="Times New Roman" w:hAnsi="Arial" w:cs="Arial"/>
                <w:bCs/>
                <w:color w:val="000000"/>
                <w:sz w:val="20"/>
                <w:szCs w:val="20"/>
                <w:lang w:eastAsia="en-GB"/>
              </w:rPr>
            </w:pPr>
            <w:r w:rsidRPr="004F3092">
              <w:rPr>
                <w:rFonts w:ascii="Arial" w:eastAsia="Times New Roman" w:hAnsi="Arial" w:cs="Arial"/>
                <w:color w:val="000000"/>
                <w:sz w:val="20"/>
                <w:szCs w:val="20"/>
                <w:lang w:eastAsia="en-GB"/>
              </w:rPr>
              <w:t>(309.4)</w:t>
            </w:r>
          </w:p>
        </w:tc>
      </w:tr>
      <w:tr w:rsidR="00914DD6" w:rsidRPr="00045AC0" w14:paraId="6C5B19E0" w14:textId="77777777" w:rsidTr="00914DD6">
        <w:trPr>
          <w:trHeight w:val="294"/>
        </w:trPr>
        <w:tc>
          <w:tcPr>
            <w:tcW w:w="4287" w:type="dxa"/>
            <w:tcBorders>
              <w:top w:val="nil"/>
              <w:left w:val="nil"/>
              <w:bottom w:val="nil"/>
              <w:right w:val="nil"/>
            </w:tcBorders>
            <w:shd w:val="clear" w:color="auto" w:fill="auto"/>
            <w:noWrap/>
            <w:vAlign w:val="center"/>
          </w:tcPr>
          <w:p w14:paraId="50D3C3D6" w14:textId="0312EF18" w:rsidR="00914DD6" w:rsidRPr="00914DD6" w:rsidRDefault="00914DD6" w:rsidP="00A64700">
            <w:pPr>
              <w:rPr>
                <w:rFonts w:ascii="Arial" w:eastAsia="Times New Roman" w:hAnsi="Arial" w:cs="Arial"/>
                <w:color w:val="000000"/>
                <w:sz w:val="20"/>
                <w:szCs w:val="20"/>
                <w:lang w:eastAsia="en-GB"/>
              </w:rPr>
            </w:pPr>
            <w:r w:rsidRPr="00914DD6">
              <w:rPr>
                <w:rFonts w:ascii="Arial" w:eastAsia="Times New Roman" w:hAnsi="Arial" w:cs="Arial"/>
                <w:color w:val="000000"/>
                <w:sz w:val="20"/>
                <w:szCs w:val="20"/>
                <w:lang w:eastAsia="en-GB"/>
              </w:rPr>
              <w:t>Lease liability</w:t>
            </w:r>
          </w:p>
        </w:tc>
        <w:tc>
          <w:tcPr>
            <w:tcW w:w="708" w:type="dxa"/>
            <w:tcBorders>
              <w:top w:val="nil"/>
              <w:left w:val="nil"/>
              <w:bottom w:val="nil"/>
              <w:right w:val="nil"/>
            </w:tcBorders>
            <w:shd w:val="clear" w:color="auto" w:fill="auto"/>
            <w:noWrap/>
            <w:vAlign w:val="center"/>
          </w:tcPr>
          <w:p w14:paraId="670CC6C6" w14:textId="77777777" w:rsidR="00914DD6" w:rsidRPr="00DD162A" w:rsidRDefault="00914DD6" w:rsidP="00A64700">
            <w:pPr>
              <w:jc w:val="center"/>
              <w:rPr>
                <w:rFonts w:ascii="Arial" w:eastAsia="Times New Roman" w:hAnsi="Arial" w:cs="Arial"/>
                <w:b/>
                <w:bCs/>
                <w:color w:val="000000"/>
                <w:sz w:val="20"/>
                <w:szCs w:val="20"/>
                <w:lang w:eastAsia="en-GB"/>
              </w:rPr>
            </w:pPr>
          </w:p>
        </w:tc>
        <w:tc>
          <w:tcPr>
            <w:tcW w:w="1370" w:type="dxa"/>
            <w:tcBorders>
              <w:left w:val="nil"/>
              <w:bottom w:val="single" w:sz="8" w:space="0" w:color="auto"/>
              <w:right w:val="nil"/>
            </w:tcBorders>
            <w:vAlign w:val="center"/>
          </w:tcPr>
          <w:p w14:paraId="7032988E" w14:textId="245A91F8" w:rsidR="00914DD6" w:rsidRPr="00914DD6" w:rsidRDefault="00914DD6" w:rsidP="00A64700">
            <w:pPr>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r w:rsidRPr="00914DD6">
              <w:rPr>
                <w:rFonts w:ascii="Arial" w:eastAsia="Times New Roman" w:hAnsi="Arial" w:cs="Arial"/>
                <w:color w:val="000000"/>
                <w:sz w:val="20"/>
                <w:szCs w:val="20"/>
                <w:lang w:eastAsia="en-GB"/>
              </w:rPr>
              <w:t>568.2</w:t>
            </w:r>
            <w:r>
              <w:rPr>
                <w:rFonts w:ascii="Arial" w:eastAsia="Times New Roman" w:hAnsi="Arial" w:cs="Arial"/>
                <w:color w:val="000000"/>
                <w:sz w:val="20"/>
                <w:szCs w:val="20"/>
                <w:lang w:eastAsia="en-GB"/>
              </w:rPr>
              <w:t>)</w:t>
            </w:r>
          </w:p>
        </w:tc>
        <w:tc>
          <w:tcPr>
            <w:tcW w:w="1370" w:type="dxa"/>
            <w:tcBorders>
              <w:left w:val="nil"/>
              <w:bottom w:val="single" w:sz="8" w:space="0" w:color="auto"/>
              <w:right w:val="nil"/>
            </w:tcBorders>
            <w:shd w:val="clear" w:color="auto" w:fill="auto"/>
            <w:vAlign w:val="center"/>
          </w:tcPr>
          <w:p w14:paraId="60137EBD" w14:textId="17D8B590" w:rsidR="00914DD6" w:rsidRPr="00045AC0" w:rsidRDefault="00914DD6" w:rsidP="00A64700">
            <w:pPr>
              <w:jc w:val="right"/>
              <w:rPr>
                <w:rFonts w:ascii="Arial" w:eastAsia="Times New Roman" w:hAnsi="Arial" w:cs="Arial"/>
                <w:color w:val="000000"/>
                <w:sz w:val="20"/>
                <w:szCs w:val="20"/>
                <w:lang w:eastAsia="en-GB"/>
              </w:rPr>
            </w:pPr>
            <w:r w:rsidRPr="00045AC0">
              <w:rPr>
                <w:rFonts w:ascii="Arial" w:eastAsia="Times New Roman" w:hAnsi="Arial" w:cs="Arial"/>
                <w:color w:val="000000"/>
                <w:sz w:val="20"/>
                <w:szCs w:val="20"/>
                <w:lang w:eastAsia="en-GB"/>
              </w:rPr>
              <w:t>-</w:t>
            </w:r>
          </w:p>
        </w:tc>
        <w:tc>
          <w:tcPr>
            <w:tcW w:w="1371" w:type="dxa"/>
            <w:tcBorders>
              <w:left w:val="nil"/>
              <w:bottom w:val="single" w:sz="8" w:space="0" w:color="auto"/>
              <w:right w:val="nil"/>
            </w:tcBorders>
            <w:vAlign w:val="center"/>
          </w:tcPr>
          <w:p w14:paraId="66F1FBF0" w14:textId="25DE081F" w:rsidR="00914DD6" w:rsidRPr="00045AC0" w:rsidRDefault="00914DD6" w:rsidP="00A64700">
            <w:pPr>
              <w:ind w:right="-107"/>
              <w:jc w:val="right"/>
              <w:rPr>
                <w:rFonts w:ascii="Arial" w:eastAsia="Times New Roman" w:hAnsi="Arial" w:cs="Arial"/>
                <w:color w:val="000000"/>
                <w:sz w:val="20"/>
                <w:szCs w:val="20"/>
                <w:lang w:eastAsia="en-GB"/>
              </w:rPr>
            </w:pPr>
            <w:r w:rsidRPr="00045AC0">
              <w:rPr>
                <w:rFonts w:ascii="Arial" w:eastAsia="Times New Roman" w:hAnsi="Arial" w:cs="Arial"/>
                <w:color w:val="000000"/>
                <w:sz w:val="20"/>
                <w:szCs w:val="20"/>
                <w:lang w:eastAsia="en-GB"/>
              </w:rPr>
              <w:t>-</w:t>
            </w:r>
          </w:p>
        </w:tc>
      </w:tr>
      <w:tr w:rsidR="00A64700" w:rsidRPr="00DD162A" w14:paraId="6E79A62A" w14:textId="77777777" w:rsidTr="001E5C67">
        <w:trPr>
          <w:trHeight w:val="294"/>
        </w:trPr>
        <w:tc>
          <w:tcPr>
            <w:tcW w:w="4287" w:type="dxa"/>
            <w:tcBorders>
              <w:top w:val="nil"/>
              <w:left w:val="nil"/>
              <w:bottom w:val="nil"/>
              <w:right w:val="nil"/>
            </w:tcBorders>
            <w:shd w:val="clear" w:color="auto" w:fill="auto"/>
            <w:noWrap/>
            <w:vAlign w:val="center"/>
            <w:hideMark/>
          </w:tcPr>
          <w:p w14:paraId="3CE43FAE" w14:textId="77777777" w:rsidR="00A64700" w:rsidRPr="00DD162A" w:rsidRDefault="00A64700" w:rsidP="00A64700">
            <w:pPr>
              <w:rPr>
                <w:rFonts w:ascii="Arial" w:eastAsia="Times New Roman" w:hAnsi="Arial" w:cs="Arial"/>
                <w:b/>
                <w:bCs/>
                <w:color w:val="000000"/>
                <w:sz w:val="20"/>
                <w:szCs w:val="20"/>
                <w:lang w:eastAsia="en-GB"/>
              </w:rPr>
            </w:pPr>
            <w:r w:rsidRPr="00DD162A">
              <w:rPr>
                <w:rFonts w:ascii="Arial" w:eastAsia="Times New Roman" w:hAnsi="Arial" w:cs="Arial"/>
                <w:b/>
                <w:bCs/>
                <w:color w:val="000000"/>
                <w:sz w:val="20"/>
                <w:szCs w:val="20"/>
                <w:lang w:eastAsia="en-GB"/>
              </w:rPr>
              <w:t>Total current liabilities</w:t>
            </w:r>
          </w:p>
        </w:tc>
        <w:tc>
          <w:tcPr>
            <w:tcW w:w="708" w:type="dxa"/>
            <w:tcBorders>
              <w:top w:val="nil"/>
              <w:left w:val="nil"/>
              <w:bottom w:val="nil"/>
              <w:right w:val="nil"/>
            </w:tcBorders>
            <w:shd w:val="clear" w:color="auto" w:fill="auto"/>
            <w:noWrap/>
            <w:vAlign w:val="center"/>
          </w:tcPr>
          <w:p w14:paraId="1B6BC4BD" w14:textId="77777777" w:rsidR="00A64700" w:rsidRPr="00DD162A" w:rsidRDefault="00A64700" w:rsidP="00A64700">
            <w:pPr>
              <w:jc w:val="center"/>
              <w:rPr>
                <w:rFonts w:ascii="Arial" w:eastAsia="Times New Roman" w:hAnsi="Arial" w:cs="Arial"/>
                <w:b/>
                <w:bCs/>
                <w:color w:val="000000"/>
                <w:sz w:val="20"/>
                <w:szCs w:val="20"/>
                <w:lang w:eastAsia="en-GB"/>
              </w:rPr>
            </w:pPr>
          </w:p>
        </w:tc>
        <w:tc>
          <w:tcPr>
            <w:tcW w:w="1370" w:type="dxa"/>
            <w:tcBorders>
              <w:top w:val="nil"/>
              <w:left w:val="nil"/>
              <w:bottom w:val="single" w:sz="8" w:space="0" w:color="auto"/>
              <w:right w:val="nil"/>
            </w:tcBorders>
            <w:vAlign w:val="center"/>
          </w:tcPr>
          <w:p w14:paraId="106747ED" w14:textId="6258269D" w:rsidR="00A64700" w:rsidRPr="00DD162A" w:rsidRDefault="00385144" w:rsidP="00A64700">
            <w:pPr>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(36,</w:t>
            </w:r>
            <w:r w:rsidR="00914DD6">
              <w:rPr>
                <w:rFonts w:ascii="Arial" w:eastAsia="Times New Roman" w:hAnsi="Arial" w:cs="Arial"/>
                <w:b/>
                <w:bCs/>
                <w:color w:val="000000"/>
                <w:sz w:val="20"/>
                <w:szCs w:val="20"/>
                <w:lang w:eastAsia="en-GB"/>
              </w:rPr>
              <w:t>724.3</w:t>
            </w:r>
            <w:r>
              <w:rPr>
                <w:rFonts w:ascii="Arial" w:eastAsia="Times New Roman" w:hAnsi="Arial" w:cs="Arial"/>
                <w:b/>
                <w:bCs/>
                <w:color w:val="000000"/>
                <w:sz w:val="20"/>
                <w:szCs w:val="20"/>
                <w:lang w:eastAsia="en-GB"/>
              </w:rPr>
              <w:t>)</w:t>
            </w:r>
          </w:p>
        </w:tc>
        <w:tc>
          <w:tcPr>
            <w:tcW w:w="1370" w:type="dxa"/>
            <w:tcBorders>
              <w:top w:val="nil"/>
              <w:left w:val="nil"/>
              <w:bottom w:val="single" w:sz="8" w:space="0" w:color="auto"/>
              <w:right w:val="nil"/>
            </w:tcBorders>
            <w:shd w:val="clear" w:color="auto" w:fill="auto"/>
            <w:vAlign w:val="center"/>
          </w:tcPr>
          <w:p w14:paraId="653F0A97" w14:textId="2A2DB3FB" w:rsidR="00A64700" w:rsidRPr="00DD162A" w:rsidRDefault="00A64700" w:rsidP="00A64700">
            <w:pPr>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(45,232.5)</w:t>
            </w:r>
          </w:p>
        </w:tc>
        <w:tc>
          <w:tcPr>
            <w:tcW w:w="1371" w:type="dxa"/>
            <w:tcBorders>
              <w:top w:val="nil"/>
              <w:left w:val="nil"/>
              <w:bottom w:val="single" w:sz="8" w:space="0" w:color="auto"/>
              <w:right w:val="nil"/>
            </w:tcBorders>
            <w:vAlign w:val="center"/>
          </w:tcPr>
          <w:p w14:paraId="3E86253D" w14:textId="0D3F31C8" w:rsidR="00A64700" w:rsidRPr="00A64700" w:rsidRDefault="00A64700" w:rsidP="00A64700">
            <w:pPr>
              <w:ind w:right="-107"/>
              <w:jc w:val="right"/>
              <w:rPr>
                <w:rFonts w:ascii="Arial" w:eastAsia="Times New Roman" w:hAnsi="Arial" w:cs="Arial"/>
                <w:b/>
                <w:bCs/>
                <w:color w:val="000000"/>
                <w:sz w:val="20"/>
                <w:szCs w:val="20"/>
                <w:lang w:eastAsia="en-GB"/>
              </w:rPr>
            </w:pPr>
            <w:r w:rsidRPr="00A64700">
              <w:rPr>
                <w:rFonts w:ascii="Arial" w:eastAsia="Times New Roman" w:hAnsi="Arial" w:cs="Arial"/>
                <w:b/>
                <w:bCs/>
                <w:color w:val="000000"/>
                <w:sz w:val="20"/>
                <w:szCs w:val="20"/>
                <w:lang w:eastAsia="en-GB"/>
              </w:rPr>
              <w:t>(42,025.3)</w:t>
            </w:r>
          </w:p>
        </w:tc>
      </w:tr>
      <w:tr w:rsidR="00A64700" w:rsidRPr="00DD162A" w14:paraId="42779B9A" w14:textId="77777777" w:rsidTr="00B82B88">
        <w:trPr>
          <w:trHeight w:val="288"/>
        </w:trPr>
        <w:tc>
          <w:tcPr>
            <w:tcW w:w="4287" w:type="dxa"/>
            <w:tcBorders>
              <w:top w:val="nil"/>
              <w:left w:val="nil"/>
              <w:bottom w:val="nil"/>
              <w:right w:val="nil"/>
            </w:tcBorders>
            <w:shd w:val="clear" w:color="auto" w:fill="auto"/>
            <w:noWrap/>
            <w:vAlign w:val="center"/>
            <w:hideMark/>
          </w:tcPr>
          <w:p w14:paraId="4BE89231" w14:textId="77777777" w:rsidR="00A64700" w:rsidRPr="00DD162A" w:rsidRDefault="00A64700" w:rsidP="00A64700">
            <w:pPr>
              <w:rPr>
                <w:rFonts w:ascii="Arial" w:eastAsia="Times New Roman" w:hAnsi="Arial" w:cs="Arial"/>
                <w:b/>
                <w:bCs/>
                <w:color w:val="000000"/>
                <w:sz w:val="20"/>
                <w:szCs w:val="20"/>
                <w:lang w:eastAsia="en-GB"/>
              </w:rPr>
            </w:pPr>
          </w:p>
        </w:tc>
        <w:tc>
          <w:tcPr>
            <w:tcW w:w="708" w:type="dxa"/>
            <w:tcBorders>
              <w:top w:val="nil"/>
              <w:left w:val="nil"/>
              <w:bottom w:val="nil"/>
              <w:right w:val="nil"/>
            </w:tcBorders>
            <w:shd w:val="clear" w:color="auto" w:fill="auto"/>
            <w:noWrap/>
            <w:vAlign w:val="center"/>
          </w:tcPr>
          <w:p w14:paraId="343D423C" w14:textId="77777777" w:rsidR="00A64700" w:rsidRPr="00DD162A" w:rsidRDefault="00A64700" w:rsidP="00A64700">
            <w:pPr>
              <w:jc w:val="center"/>
              <w:rPr>
                <w:rFonts w:ascii="Arial" w:eastAsia="Times New Roman" w:hAnsi="Arial" w:cs="Arial"/>
                <w:sz w:val="20"/>
                <w:szCs w:val="20"/>
                <w:lang w:eastAsia="en-GB"/>
              </w:rPr>
            </w:pPr>
          </w:p>
        </w:tc>
        <w:tc>
          <w:tcPr>
            <w:tcW w:w="1370" w:type="dxa"/>
            <w:tcBorders>
              <w:top w:val="nil"/>
              <w:left w:val="nil"/>
              <w:bottom w:val="nil"/>
              <w:right w:val="nil"/>
            </w:tcBorders>
            <w:vAlign w:val="center"/>
          </w:tcPr>
          <w:p w14:paraId="2D22C8DF" w14:textId="77777777" w:rsidR="00A64700" w:rsidRPr="00DD162A" w:rsidRDefault="00A64700" w:rsidP="00A64700">
            <w:pPr>
              <w:jc w:val="right"/>
              <w:rPr>
                <w:rFonts w:ascii="Arial" w:eastAsia="Times New Roman" w:hAnsi="Arial" w:cs="Arial"/>
                <w:sz w:val="20"/>
                <w:szCs w:val="20"/>
                <w:lang w:eastAsia="en-GB"/>
              </w:rPr>
            </w:pPr>
          </w:p>
        </w:tc>
        <w:tc>
          <w:tcPr>
            <w:tcW w:w="1370" w:type="dxa"/>
            <w:tcBorders>
              <w:top w:val="nil"/>
              <w:left w:val="nil"/>
              <w:bottom w:val="nil"/>
              <w:right w:val="nil"/>
            </w:tcBorders>
            <w:shd w:val="clear" w:color="auto" w:fill="auto"/>
            <w:noWrap/>
            <w:vAlign w:val="center"/>
          </w:tcPr>
          <w:p w14:paraId="2A80DB05" w14:textId="77777777" w:rsidR="00A64700" w:rsidRPr="00DD162A" w:rsidRDefault="00A64700" w:rsidP="00A64700">
            <w:pPr>
              <w:jc w:val="right"/>
              <w:rPr>
                <w:rFonts w:ascii="Arial" w:eastAsia="Times New Roman" w:hAnsi="Arial" w:cs="Arial"/>
                <w:sz w:val="20"/>
                <w:szCs w:val="20"/>
                <w:lang w:eastAsia="en-GB"/>
              </w:rPr>
            </w:pPr>
          </w:p>
        </w:tc>
        <w:tc>
          <w:tcPr>
            <w:tcW w:w="1371" w:type="dxa"/>
            <w:tcBorders>
              <w:top w:val="nil"/>
              <w:left w:val="nil"/>
              <w:bottom w:val="nil"/>
              <w:right w:val="nil"/>
            </w:tcBorders>
          </w:tcPr>
          <w:p w14:paraId="2C5F17A6" w14:textId="77777777" w:rsidR="00A64700" w:rsidRPr="00337096" w:rsidRDefault="00A64700" w:rsidP="00A64700">
            <w:pPr>
              <w:ind w:right="-107"/>
              <w:jc w:val="right"/>
              <w:rPr>
                <w:rFonts w:ascii="Arial" w:eastAsia="Times New Roman" w:hAnsi="Arial" w:cs="Arial"/>
                <w:b/>
                <w:bCs/>
                <w:color w:val="000000"/>
                <w:sz w:val="20"/>
                <w:szCs w:val="20"/>
                <w:lang w:eastAsia="en-GB"/>
              </w:rPr>
            </w:pPr>
          </w:p>
        </w:tc>
      </w:tr>
      <w:tr w:rsidR="00A64700" w:rsidRPr="00DD162A" w14:paraId="1F85981C" w14:textId="77777777" w:rsidTr="00B82B88">
        <w:trPr>
          <w:trHeight w:val="288"/>
        </w:trPr>
        <w:tc>
          <w:tcPr>
            <w:tcW w:w="4287" w:type="dxa"/>
            <w:tcBorders>
              <w:top w:val="nil"/>
              <w:left w:val="nil"/>
              <w:bottom w:val="nil"/>
              <w:right w:val="nil"/>
            </w:tcBorders>
            <w:shd w:val="clear" w:color="auto" w:fill="auto"/>
            <w:noWrap/>
            <w:vAlign w:val="center"/>
            <w:hideMark/>
          </w:tcPr>
          <w:p w14:paraId="019928DC" w14:textId="77777777" w:rsidR="00A64700" w:rsidRPr="00DD162A" w:rsidRDefault="00A64700" w:rsidP="00A64700">
            <w:pPr>
              <w:rPr>
                <w:rFonts w:ascii="Arial" w:eastAsia="Times New Roman" w:hAnsi="Arial" w:cs="Arial"/>
                <w:b/>
                <w:bCs/>
                <w:color w:val="000000"/>
                <w:sz w:val="20"/>
                <w:szCs w:val="20"/>
                <w:lang w:eastAsia="en-GB"/>
              </w:rPr>
            </w:pPr>
            <w:r w:rsidRPr="00DD162A">
              <w:rPr>
                <w:rFonts w:ascii="Arial" w:eastAsia="Times New Roman" w:hAnsi="Arial" w:cs="Arial"/>
                <w:b/>
                <w:bCs/>
                <w:color w:val="000000"/>
                <w:sz w:val="20"/>
                <w:szCs w:val="20"/>
                <w:lang w:eastAsia="en-GB"/>
              </w:rPr>
              <w:t>Non-current liabilities</w:t>
            </w:r>
          </w:p>
        </w:tc>
        <w:tc>
          <w:tcPr>
            <w:tcW w:w="708" w:type="dxa"/>
            <w:tcBorders>
              <w:top w:val="nil"/>
              <w:left w:val="nil"/>
              <w:bottom w:val="nil"/>
              <w:right w:val="nil"/>
            </w:tcBorders>
            <w:shd w:val="clear" w:color="auto" w:fill="auto"/>
            <w:noWrap/>
            <w:vAlign w:val="center"/>
          </w:tcPr>
          <w:p w14:paraId="6BC11F17" w14:textId="77777777" w:rsidR="00A64700" w:rsidRPr="00DD162A" w:rsidRDefault="00A64700" w:rsidP="00A64700">
            <w:pPr>
              <w:jc w:val="center"/>
              <w:rPr>
                <w:rFonts w:ascii="Arial" w:eastAsia="Times New Roman" w:hAnsi="Arial" w:cs="Arial"/>
                <w:b/>
                <w:bCs/>
                <w:color w:val="000000"/>
                <w:sz w:val="20"/>
                <w:szCs w:val="20"/>
                <w:lang w:eastAsia="en-GB"/>
              </w:rPr>
            </w:pPr>
          </w:p>
        </w:tc>
        <w:tc>
          <w:tcPr>
            <w:tcW w:w="1370" w:type="dxa"/>
            <w:tcBorders>
              <w:top w:val="nil"/>
              <w:left w:val="nil"/>
              <w:bottom w:val="nil"/>
              <w:right w:val="nil"/>
            </w:tcBorders>
            <w:vAlign w:val="center"/>
          </w:tcPr>
          <w:p w14:paraId="6AD2A4C6" w14:textId="77777777" w:rsidR="00A64700" w:rsidRPr="00DD162A" w:rsidRDefault="00A64700" w:rsidP="00A64700">
            <w:pPr>
              <w:jc w:val="right"/>
              <w:rPr>
                <w:rFonts w:ascii="Arial" w:eastAsia="Times New Roman" w:hAnsi="Arial" w:cs="Arial"/>
                <w:sz w:val="20"/>
                <w:szCs w:val="20"/>
                <w:lang w:eastAsia="en-GB"/>
              </w:rPr>
            </w:pPr>
          </w:p>
        </w:tc>
        <w:tc>
          <w:tcPr>
            <w:tcW w:w="1370" w:type="dxa"/>
            <w:tcBorders>
              <w:top w:val="nil"/>
              <w:left w:val="nil"/>
              <w:bottom w:val="nil"/>
              <w:right w:val="nil"/>
            </w:tcBorders>
            <w:shd w:val="clear" w:color="auto" w:fill="auto"/>
            <w:noWrap/>
            <w:vAlign w:val="center"/>
          </w:tcPr>
          <w:p w14:paraId="2E082935" w14:textId="77777777" w:rsidR="00A64700" w:rsidRPr="00DD162A" w:rsidRDefault="00A64700" w:rsidP="00A64700">
            <w:pPr>
              <w:jc w:val="right"/>
              <w:rPr>
                <w:rFonts w:ascii="Arial" w:eastAsia="Times New Roman" w:hAnsi="Arial" w:cs="Arial"/>
                <w:sz w:val="20"/>
                <w:szCs w:val="20"/>
                <w:lang w:eastAsia="en-GB"/>
              </w:rPr>
            </w:pPr>
          </w:p>
        </w:tc>
        <w:tc>
          <w:tcPr>
            <w:tcW w:w="1371" w:type="dxa"/>
            <w:tcBorders>
              <w:top w:val="nil"/>
              <w:left w:val="nil"/>
              <w:bottom w:val="nil"/>
              <w:right w:val="nil"/>
            </w:tcBorders>
            <w:vAlign w:val="center"/>
          </w:tcPr>
          <w:p w14:paraId="0A2191AD" w14:textId="77777777" w:rsidR="00A64700" w:rsidRPr="00337096" w:rsidRDefault="00A64700" w:rsidP="00A64700">
            <w:pPr>
              <w:ind w:right="-107"/>
              <w:jc w:val="right"/>
              <w:rPr>
                <w:rFonts w:ascii="Arial" w:eastAsia="Times New Roman" w:hAnsi="Arial" w:cs="Arial"/>
                <w:b/>
                <w:bCs/>
                <w:color w:val="000000"/>
                <w:sz w:val="20"/>
                <w:szCs w:val="20"/>
                <w:lang w:eastAsia="en-GB"/>
              </w:rPr>
            </w:pPr>
          </w:p>
        </w:tc>
      </w:tr>
      <w:tr w:rsidR="00A64700" w:rsidRPr="00DD162A" w14:paraId="746DEA5F" w14:textId="77777777" w:rsidTr="00B82B88">
        <w:trPr>
          <w:trHeight w:val="294"/>
        </w:trPr>
        <w:tc>
          <w:tcPr>
            <w:tcW w:w="4287" w:type="dxa"/>
            <w:tcBorders>
              <w:top w:val="nil"/>
              <w:left w:val="nil"/>
              <w:bottom w:val="nil"/>
              <w:right w:val="nil"/>
            </w:tcBorders>
            <w:shd w:val="clear" w:color="auto" w:fill="auto"/>
            <w:noWrap/>
            <w:vAlign w:val="center"/>
            <w:hideMark/>
          </w:tcPr>
          <w:p w14:paraId="7B01BE26" w14:textId="77777777" w:rsidR="00A64700" w:rsidRPr="00DD162A" w:rsidRDefault="00A64700" w:rsidP="00A64700">
            <w:pPr>
              <w:rPr>
                <w:rFonts w:ascii="Arial" w:eastAsia="Times New Roman" w:hAnsi="Arial" w:cs="Arial"/>
                <w:color w:val="000000"/>
                <w:sz w:val="20"/>
                <w:szCs w:val="20"/>
                <w:lang w:eastAsia="en-GB"/>
              </w:rPr>
            </w:pPr>
            <w:r w:rsidRPr="00DD162A">
              <w:rPr>
                <w:rFonts w:ascii="Arial" w:eastAsia="Times New Roman" w:hAnsi="Arial" w:cs="Arial"/>
                <w:color w:val="000000"/>
                <w:sz w:val="20"/>
                <w:szCs w:val="20"/>
                <w:lang w:eastAsia="en-GB"/>
              </w:rPr>
              <w:t>Deferred tax liability</w:t>
            </w:r>
          </w:p>
        </w:tc>
        <w:tc>
          <w:tcPr>
            <w:tcW w:w="708" w:type="dxa"/>
            <w:tcBorders>
              <w:top w:val="nil"/>
              <w:left w:val="nil"/>
              <w:bottom w:val="nil"/>
              <w:right w:val="nil"/>
            </w:tcBorders>
            <w:shd w:val="clear" w:color="auto" w:fill="auto"/>
            <w:noWrap/>
            <w:vAlign w:val="center"/>
          </w:tcPr>
          <w:p w14:paraId="0CE8A979" w14:textId="77777777" w:rsidR="00A64700" w:rsidRPr="00DD162A" w:rsidRDefault="00A64700" w:rsidP="00A64700">
            <w:pPr>
              <w:jc w:val="center"/>
              <w:rPr>
                <w:rFonts w:ascii="Arial" w:eastAsia="Times New Roman" w:hAnsi="Arial" w:cs="Arial"/>
                <w:color w:val="000000"/>
                <w:sz w:val="20"/>
                <w:szCs w:val="20"/>
                <w:lang w:eastAsia="en-GB"/>
              </w:rPr>
            </w:pPr>
          </w:p>
        </w:tc>
        <w:tc>
          <w:tcPr>
            <w:tcW w:w="1370" w:type="dxa"/>
            <w:tcBorders>
              <w:top w:val="nil"/>
              <w:left w:val="nil"/>
              <w:bottom w:val="nil"/>
              <w:right w:val="nil"/>
            </w:tcBorders>
            <w:vAlign w:val="center"/>
          </w:tcPr>
          <w:p w14:paraId="54BA4F90" w14:textId="38FC570D" w:rsidR="00A64700" w:rsidRPr="00DD162A" w:rsidRDefault="00385144" w:rsidP="00A64700">
            <w:pPr>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p>
        </w:tc>
        <w:tc>
          <w:tcPr>
            <w:tcW w:w="1370" w:type="dxa"/>
            <w:tcBorders>
              <w:top w:val="nil"/>
              <w:left w:val="nil"/>
              <w:bottom w:val="nil"/>
              <w:right w:val="nil"/>
            </w:tcBorders>
            <w:shd w:val="clear" w:color="auto" w:fill="auto"/>
            <w:noWrap/>
            <w:vAlign w:val="center"/>
          </w:tcPr>
          <w:p w14:paraId="0A8B2188" w14:textId="747066FA" w:rsidR="00A64700" w:rsidRPr="00DD162A" w:rsidRDefault="00A64700" w:rsidP="00A64700">
            <w:pPr>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p>
        </w:tc>
        <w:tc>
          <w:tcPr>
            <w:tcW w:w="1371" w:type="dxa"/>
            <w:tcBorders>
              <w:top w:val="nil"/>
              <w:left w:val="nil"/>
              <w:bottom w:val="nil"/>
              <w:right w:val="nil"/>
            </w:tcBorders>
            <w:vAlign w:val="center"/>
          </w:tcPr>
          <w:p w14:paraId="16920632" w14:textId="6243B6BE" w:rsidR="00A64700" w:rsidRPr="00337096" w:rsidRDefault="00A64700" w:rsidP="00A64700">
            <w:pPr>
              <w:ind w:right="-107"/>
              <w:jc w:val="right"/>
              <w:rPr>
                <w:rFonts w:ascii="Arial" w:eastAsia="Times New Roman" w:hAnsi="Arial" w:cs="Arial"/>
                <w:bCs/>
                <w:color w:val="000000"/>
                <w:sz w:val="20"/>
                <w:szCs w:val="20"/>
                <w:lang w:eastAsia="en-GB"/>
              </w:rPr>
            </w:pPr>
            <w:r w:rsidRPr="004F3092">
              <w:rPr>
                <w:rFonts w:ascii="Arial" w:eastAsia="Times New Roman" w:hAnsi="Arial" w:cs="Arial"/>
                <w:color w:val="000000"/>
                <w:sz w:val="20"/>
                <w:szCs w:val="20"/>
                <w:lang w:eastAsia="en-GB"/>
              </w:rPr>
              <w:t>(193.6)</w:t>
            </w:r>
          </w:p>
        </w:tc>
      </w:tr>
      <w:tr w:rsidR="00385144" w:rsidRPr="00DD162A" w14:paraId="67C242D0" w14:textId="77777777" w:rsidTr="00B82B88">
        <w:trPr>
          <w:trHeight w:val="294"/>
        </w:trPr>
        <w:tc>
          <w:tcPr>
            <w:tcW w:w="4287" w:type="dxa"/>
            <w:tcBorders>
              <w:top w:val="nil"/>
              <w:left w:val="nil"/>
              <w:bottom w:val="nil"/>
              <w:right w:val="nil"/>
            </w:tcBorders>
            <w:shd w:val="clear" w:color="auto" w:fill="auto"/>
            <w:noWrap/>
            <w:vAlign w:val="center"/>
          </w:tcPr>
          <w:p w14:paraId="50028660" w14:textId="4B877F20" w:rsidR="00385144" w:rsidRPr="00DD162A" w:rsidRDefault="00385144" w:rsidP="00385144">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Lease liability</w:t>
            </w:r>
          </w:p>
        </w:tc>
        <w:tc>
          <w:tcPr>
            <w:tcW w:w="708" w:type="dxa"/>
            <w:tcBorders>
              <w:top w:val="nil"/>
              <w:left w:val="nil"/>
              <w:bottom w:val="nil"/>
              <w:right w:val="nil"/>
            </w:tcBorders>
            <w:shd w:val="clear" w:color="auto" w:fill="auto"/>
            <w:noWrap/>
            <w:vAlign w:val="center"/>
          </w:tcPr>
          <w:p w14:paraId="0BE9FC53" w14:textId="77777777" w:rsidR="00385144" w:rsidRPr="00DD162A" w:rsidRDefault="00385144" w:rsidP="00385144">
            <w:pPr>
              <w:jc w:val="center"/>
              <w:rPr>
                <w:rFonts w:ascii="Arial" w:eastAsia="Times New Roman" w:hAnsi="Arial" w:cs="Arial"/>
                <w:color w:val="000000"/>
                <w:sz w:val="20"/>
                <w:szCs w:val="20"/>
                <w:lang w:eastAsia="en-GB"/>
              </w:rPr>
            </w:pPr>
          </w:p>
        </w:tc>
        <w:tc>
          <w:tcPr>
            <w:tcW w:w="1370" w:type="dxa"/>
            <w:tcBorders>
              <w:top w:val="nil"/>
              <w:left w:val="nil"/>
              <w:bottom w:val="nil"/>
              <w:right w:val="nil"/>
            </w:tcBorders>
            <w:vAlign w:val="center"/>
          </w:tcPr>
          <w:p w14:paraId="2A81C1C3" w14:textId="3D7CDEDF" w:rsidR="00385144" w:rsidRDefault="00914DD6" w:rsidP="00385144">
            <w:pPr>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(1,456.5)</w:t>
            </w:r>
          </w:p>
        </w:tc>
        <w:tc>
          <w:tcPr>
            <w:tcW w:w="1370" w:type="dxa"/>
            <w:tcBorders>
              <w:top w:val="nil"/>
              <w:left w:val="nil"/>
              <w:bottom w:val="nil"/>
              <w:right w:val="nil"/>
            </w:tcBorders>
            <w:shd w:val="clear" w:color="auto" w:fill="auto"/>
            <w:noWrap/>
            <w:vAlign w:val="center"/>
          </w:tcPr>
          <w:p w14:paraId="4EF325DD" w14:textId="7AD56F7B" w:rsidR="00385144" w:rsidRDefault="00385144" w:rsidP="00385144">
            <w:pPr>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p>
        </w:tc>
        <w:tc>
          <w:tcPr>
            <w:tcW w:w="1371" w:type="dxa"/>
            <w:tcBorders>
              <w:top w:val="nil"/>
              <w:left w:val="nil"/>
              <w:bottom w:val="nil"/>
              <w:right w:val="nil"/>
            </w:tcBorders>
            <w:vAlign w:val="center"/>
          </w:tcPr>
          <w:p w14:paraId="610068D3" w14:textId="76140D4B" w:rsidR="00385144" w:rsidRPr="004F3092" w:rsidRDefault="00385144" w:rsidP="00385144">
            <w:pPr>
              <w:ind w:right="-107"/>
              <w:jc w:val="right"/>
              <w:rPr>
                <w:rFonts w:ascii="Arial" w:eastAsia="Times New Roman" w:hAnsi="Arial" w:cs="Arial"/>
                <w:color w:val="000000"/>
                <w:sz w:val="20"/>
                <w:szCs w:val="20"/>
                <w:lang w:eastAsia="en-GB"/>
              </w:rPr>
            </w:pPr>
            <w:r w:rsidRPr="004F3092">
              <w:rPr>
                <w:rFonts w:ascii="Arial" w:eastAsia="Times New Roman" w:hAnsi="Arial" w:cs="Arial"/>
                <w:color w:val="000000"/>
                <w:sz w:val="20"/>
                <w:szCs w:val="20"/>
                <w:lang w:eastAsia="en-GB"/>
              </w:rPr>
              <w:t>-</w:t>
            </w:r>
          </w:p>
        </w:tc>
      </w:tr>
      <w:tr w:rsidR="00385144" w:rsidRPr="00DD162A" w14:paraId="57CFA8EC" w14:textId="77777777" w:rsidTr="00B82B88">
        <w:trPr>
          <w:trHeight w:val="294"/>
        </w:trPr>
        <w:tc>
          <w:tcPr>
            <w:tcW w:w="4287" w:type="dxa"/>
            <w:tcBorders>
              <w:top w:val="nil"/>
              <w:left w:val="nil"/>
              <w:bottom w:val="nil"/>
              <w:right w:val="nil"/>
            </w:tcBorders>
            <w:shd w:val="clear" w:color="auto" w:fill="auto"/>
            <w:noWrap/>
            <w:vAlign w:val="center"/>
            <w:hideMark/>
          </w:tcPr>
          <w:p w14:paraId="37C54575" w14:textId="77777777" w:rsidR="00385144" w:rsidRPr="00DD162A" w:rsidRDefault="00385144" w:rsidP="00385144">
            <w:pPr>
              <w:rPr>
                <w:rFonts w:ascii="Arial" w:eastAsia="Times New Roman" w:hAnsi="Arial" w:cs="Arial"/>
                <w:b/>
                <w:bCs/>
                <w:color w:val="000000"/>
                <w:sz w:val="20"/>
                <w:szCs w:val="20"/>
                <w:lang w:eastAsia="en-GB"/>
              </w:rPr>
            </w:pPr>
            <w:r w:rsidRPr="00DD162A">
              <w:rPr>
                <w:rFonts w:ascii="Arial" w:eastAsia="Times New Roman" w:hAnsi="Arial" w:cs="Arial"/>
                <w:b/>
                <w:bCs/>
                <w:color w:val="000000"/>
                <w:sz w:val="20"/>
                <w:szCs w:val="20"/>
                <w:lang w:eastAsia="en-GB"/>
              </w:rPr>
              <w:t>Total non-current liabilities</w:t>
            </w:r>
          </w:p>
        </w:tc>
        <w:tc>
          <w:tcPr>
            <w:tcW w:w="708" w:type="dxa"/>
            <w:tcBorders>
              <w:top w:val="nil"/>
              <w:left w:val="nil"/>
              <w:bottom w:val="nil"/>
              <w:right w:val="nil"/>
            </w:tcBorders>
            <w:shd w:val="clear" w:color="auto" w:fill="auto"/>
            <w:noWrap/>
            <w:vAlign w:val="center"/>
          </w:tcPr>
          <w:p w14:paraId="26067897" w14:textId="77777777" w:rsidR="00385144" w:rsidRPr="00DD162A" w:rsidRDefault="00385144" w:rsidP="00385144">
            <w:pPr>
              <w:jc w:val="center"/>
              <w:rPr>
                <w:rFonts w:ascii="Arial" w:eastAsia="Times New Roman" w:hAnsi="Arial" w:cs="Arial"/>
                <w:b/>
                <w:bCs/>
                <w:color w:val="000000"/>
                <w:sz w:val="20"/>
                <w:szCs w:val="20"/>
                <w:lang w:eastAsia="en-GB"/>
              </w:rPr>
            </w:pPr>
          </w:p>
        </w:tc>
        <w:tc>
          <w:tcPr>
            <w:tcW w:w="1370" w:type="dxa"/>
            <w:tcBorders>
              <w:top w:val="single" w:sz="8" w:space="0" w:color="auto"/>
              <w:left w:val="nil"/>
              <w:bottom w:val="single" w:sz="8" w:space="0" w:color="auto"/>
              <w:right w:val="nil"/>
            </w:tcBorders>
            <w:vAlign w:val="center"/>
          </w:tcPr>
          <w:p w14:paraId="614CFF96" w14:textId="12980703" w:rsidR="00385144" w:rsidRPr="00DD162A" w:rsidRDefault="00914DD6" w:rsidP="00385144">
            <w:pPr>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(1,456.5)</w:t>
            </w:r>
          </w:p>
        </w:tc>
        <w:tc>
          <w:tcPr>
            <w:tcW w:w="1370" w:type="dxa"/>
            <w:tcBorders>
              <w:top w:val="single" w:sz="8" w:space="0" w:color="auto"/>
              <w:left w:val="nil"/>
              <w:bottom w:val="single" w:sz="8" w:space="0" w:color="auto"/>
              <w:right w:val="nil"/>
            </w:tcBorders>
            <w:shd w:val="clear" w:color="auto" w:fill="auto"/>
            <w:vAlign w:val="center"/>
          </w:tcPr>
          <w:p w14:paraId="61F60950" w14:textId="7B13EEED" w:rsidR="00385144" w:rsidRPr="00A64700" w:rsidRDefault="00385144" w:rsidP="00385144">
            <w:pPr>
              <w:jc w:val="right"/>
              <w:rPr>
                <w:rFonts w:ascii="Arial" w:eastAsia="Times New Roman" w:hAnsi="Arial" w:cs="Arial"/>
                <w:color w:val="000000"/>
                <w:sz w:val="20"/>
                <w:szCs w:val="20"/>
                <w:lang w:eastAsia="en-GB"/>
              </w:rPr>
            </w:pPr>
            <w:r w:rsidRPr="00A64700">
              <w:rPr>
                <w:rFonts w:ascii="Arial" w:eastAsia="Times New Roman" w:hAnsi="Arial" w:cs="Arial"/>
                <w:color w:val="000000"/>
                <w:sz w:val="20"/>
                <w:szCs w:val="20"/>
                <w:lang w:eastAsia="en-GB"/>
              </w:rPr>
              <w:t>-</w:t>
            </w:r>
          </w:p>
        </w:tc>
        <w:tc>
          <w:tcPr>
            <w:tcW w:w="1371" w:type="dxa"/>
            <w:tcBorders>
              <w:top w:val="single" w:sz="8" w:space="0" w:color="auto"/>
              <w:left w:val="nil"/>
              <w:bottom w:val="single" w:sz="8" w:space="0" w:color="auto"/>
              <w:right w:val="nil"/>
            </w:tcBorders>
            <w:vAlign w:val="center"/>
          </w:tcPr>
          <w:p w14:paraId="36D02A83" w14:textId="5AC67A74" w:rsidR="00385144" w:rsidRPr="00A64700" w:rsidRDefault="00385144" w:rsidP="00385144">
            <w:pPr>
              <w:ind w:right="-107"/>
              <w:jc w:val="right"/>
              <w:rPr>
                <w:rFonts w:ascii="Arial" w:eastAsia="Times New Roman" w:hAnsi="Arial" w:cs="Arial"/>
                <w:b/>
                <w:bCs/>
                <w:color w:val="000000"/>
                <w:sz w:val="20"/>
                <w:szCs w:val="20"/>
                <w:lang w:eastAsia="en-GB"/>
              </w:rPr>
            </w:pPr>
            <w:r w:rsidRPr="00A64700">
              <w:rPr>
                <w:rFonts w:ascii="Arial" w:eastAsia="Times New Roman" w:hAnsi="Arial" w:cs="Arial"/>
                <w:b/>
                <w:bCs/>
                <w:color w:val="000000"/>
                <w:sz w:val="20"/>
                <w:szCs w:val="20"/>
                <w:lang w:eastAsia="en-GB"/>
              </w:rPr>
              <w:t>(193.6)</w:t>
            </w:r>
          </w:p>
        </w:tc>
      </w:tr>
      <w:tr w:rsidR="00385144" w:rsidRPr="00DD162A" w14:paraId="61E9BD0B" w14:textId="77777777" w:rsidTr="00B82B88">
        <w:trPr>
          <w:trHeight w:val="294"/>
        </w:trPr>
        <w:tc>
          <w:tcPr>
            <w:tcW w:w="4287" w:type="dxa"/>
            <w:tcBorders>
              <w:top w:val="nil"/>
              <w:left w:val="nil"/>
              <w:bottom w:val="nil"/>
              <w:right w:val="nil"/>
            </w:tcBorders>
            <w:shd w:val="clear" w:color="auto" w:fill="auto"/>
            <w:noWrap/>
            <w:vAlign w:val="center"/>
            <w:hideMark/>
          </w:tcPr>
          <w:p w14:paraId="549056A6" w14:textId="77777777" w:rsidR="00385144" w:rsidRPr="00DD162A" w:rsidRDefault="00385144" w:rsidP="00385144">
            <w:pPr>
              <w:rPr>
                <w:rFonts w:ascii="Arial" w:eastAsia="Times New Roman" w:hAnsi="Arial" w:cs="Arial"/>
                <w:b/>
                <w:bCs/>
                <w:color w:val="000000"/>
                <w:sz w:val="20"/>
                <w:szCs w:val="20"/>
                <w:lang w:eastAsia="en-GB"/>
              </w:rPr>
            </w:pPr>
          </w:p>
        </w:tc>
        <w:tc>
          <w:tcPr>
            <w:tcW w:w="708" w:type="dxa"/>
            <w:tcBorders>
              <w:top w:val="nil"/>
              <w:left w:val="nil"/>
              <w:bottom w:val="nil"/>
              <w:right w:val="nil"/>
            </w:tcBorders>
            <w:shd w:val="clear" w:color="auto" w:fill="auto"/>
            <w:noWrap/>
            <w:vAlign w:val="center"/>
          </w:tcPr>
          <w:p w14:paraId="4059143E" w14:textId="77777777" w:rsidR="00385144" w:rsidRPr="00DD162A" w:rsidRDefault="00385144" w:rsidP="00385144">
            <w:pPr>
              <w:jc w:val="center"/>
              <w:rPr>
                <w:rFonts w:ascii="Arial" w:eastAsia="Times New Roman" w:hAnsi="Arial" w:cs="Arial"/>
                <w:sz w:val="20"/>
                <w:szCs w:val="20"/>
                <w:lang w:eastAsia="en-GB"/>
              </w:rPr>
            </w:pPr>
          </w:p>
        </w:tc>
        <w:tc>
          <w:tcPr>
            <w:tcW w:w="1370" w:type="dxa"/>
            <w:tcBorders>
              <w:top w:val="nil"/>
              <w:left w:val="nil"/>
              <w:bottom w:val="nil"/>
              <w:right w:val="nil"/>
            </w:tcBorders>
            <w:vAlign w:val="center"/>
          </w:tcPr>
          <w:p w14:paraId="346A649E" w14:textId="77777777" w:rsidR="00385144" w:rsidRPr="00DD162A" w:rsidRDefault="00385144" w:rsidP="00385144">
            <w:pPr>
              <w:jc w:val="right"/>
              <w:rPr>
                <w:rFonts w:ascii="Arial" w:eastAsia="Times New Roman" w:hAnsi="Arial" w:cs="Arial"/>
                <w:sz w:val="20"/>
                <w:szCs w:val="20"/>
                <w:lang w:eastAsia="en-GB"/>
              </w:rPr>
            </w:pPr>
          </w:p>
        </w:tc>
        <w:tc>
          <w:tcPr>
            <w:tcW w:w="1370" w:type="dxa"/>
            <w:tcBorders>
              <w:top w:val="nil"/>
              <w:left w:val="nil"/>
              <w:bottom w:val="nil"/>
              <w:right w:val="nil"/>
            </w:tcBorders>
            <w:shd w:val="clear" w:color="auto" w:fill="auto"/>
            <w:noWrap/>
            <w:vAlign w:val="center"/>
          </w:tcPr>
          <w:p w14:paraId="70A2CFEC" w14:textId="77777777" w:rsidR="00385144" w:rsidRPr="00DD162A" w:rsidRDefault="00385144" w:rsidP="00385144">
            <w:pPr>
              <w:jc w:val="right"/>
              <w:rPr>
                <w:rFonts w:ascii="Arial" w:eastAsia="Times New Roman" w:hAnsi="Arial" w:cs="Arial"/>
                <w:sz w:val="20"/>
                <w:szCs w:val="20"/>
                <w:lang w:eastAsia="en-GB"/>
              </w:rPr>
            </w:pPr>
          </w:p>
        </w:tc>
        <w:tc>
          <w:tcPr>
            <w:tcW w:w="1371" w:type="dxa"/>
            <w:tcBorders>
              <w:top w:val="nil"/>
              <w:left w:val="nil"/>
              <w:bottom w:val="nil"/>
              <w:right w:val="nil"/>
            </w:tcBorders>
            <w:vAlign w:val="center"/>
          </w:tcPr>
          <w:p w14:paraId="310F785D" w14:textId="77777777" w:rsidR="00385144" w:rsidRPr="00337096" w:rsidRDefault="00385144" w:rsidP="00385144">
            <w:pPr>
              <w:ind w:right="-107"/>
              <w:jc w:val="right"/>
              <w:rPr>
                <w:rFonts w:ascii="Arial" w:eastAsia="Times New Roman" w:hAnsi="Arial" w:cs="Arial"/>
                <w:b/>
                <w:bCs/>
                <w:color w:val="000000"/>
                <w:sz w:val="20"/>
                <w:szCs w:val="20"/>
                <w:lang w:eastAsia="en-GB"/>
              </w:rPr>
            </w:pPr>
          </w:p>
        </w:tc>
      </w:tr>
      <w:tr w:rsidR="00385144" w:rsidRPr="00DD162A" w14:paraId="42625782" w14:textId="77777777" w:rsidTr="00B82B88">
        <w:trPr>
          <w:trHeight w:val="294"/>
        </w:trPr>
        <w:tc>
          <w:tcPr>
            <w:tcW w:w="4287" w:type="dxa"/>
            <w:tcBorders>
              <w:top w:val="nil"/>
              <w:left w:val="nil"/>
              <w:bottom w:val="nil"/>
              <w:right w:val="nil"/>
            </w:tcBorders>
            <w:shd w:val="clear" w:color="auto" w:fill="auto"/>
            <w:noWrap/>
            <w:vAlign w:val="center"/>
            <w:hideMark/>
          </w:tcPr>
          <w:p w14:paraId="5F0637AB" w14:textId="77777777" w:rsidR="00385144" w:rsidRPr="00DD162A" w:rsidRDefault="00385144" w:rsidP="00385144">
            <w:pPr>
              <w:rPr>
                <w:rFonts w:ascii="Arial" w:eastAsia="Times New Roman" w:hAnsi="Arial" w:cs="Arial"/>
                <w:b/>
                <w:bCs/>
                <w:color w:val="000000"/>
                <w:sz w:val="20"/>
                <w:szCs w:val="20"/>
                <w:lang w:eastAsia="en-GB"/>
              </w:rPr>
            </w:pPr>
            <w:r w:rsidRPr="00DD162A">
              <w:rPr>
                <w:rFonts w:ascii="Arial" w:eastAsia="Times New Roman" w:hAnsi="Arial" w:cs="Arial"/>
                <w:b/>
                <w:bCs/>
                <w:color w:val="000000"/>
                <w:sz w:val="20"/>
                <w:szCs w:val="20"/>
                <w:lang w:eastAsia="en-GB"/>
              </w:rPr>
              <w:t>Total liabilities</w:t>
            </w:r>
          </w:p>
        </w:tc>
        <w:tc>
          <w:tcPr>
            <w:tcW w:w="708" w:type="dxa"/>
            <w:tcBorders>
              <w:top w:val="nil"/>
              <w:left w:val="nil"/>
              <w:bottom w:val="nil"/>
              <w:right w:val="nil"/>
            </w:tcBorders>
            <w:shd w:val="clear" w:color="auto" w:fill="auto"/>
            <w:noWrap/>
            <w:vAlign w:val="center"/>
          </w:tcPr>
          <w:p w14:paraId="0C9291D0" w14:textId="77777777" w:rsidR="00385144" w:rsidRPr="00DD162A" w:rsidRDefault="00385144" w:rsidP="00385144">
            <w:pPr>
              <w:jc w:val="center"/>
              <w:rPr>
                <w:rFonts w:ascii="Arial" w:eastAsia="Times New Roman" w:hAnsi="Arial" w:cs="Arial"/>
                <w:b/>
                <w:bCs/>
                <w:color w:val="000000"/>
                <w:sz w:val="20"/>
                <w:szCs w:val="20"/>
                <w:lang w:eastAsia="en-GB"/>
              </w:rPr>
            </w:pPr>
          </w:p>
        </w:tc>
        <w:tc>
          <w:tcPr>
            <w:tcW w:w="1370" w:type="dxa"/>
            <w:tcBorders>
              <w:top w:val="single" w:sz="8" w:space="0" w:color="auto"/>
              <w:left w:val="nil"/>
              <w:bottom w:val="single" w:sz="8" w:space="0" w:color="auto"/>
              <w:right w:val="nil"/>
            </w:tcBorders>
            <w:vAlign w:val="center"/>
          </w:tcPr>
          <w:p w14:paraId="6DF0813F" w14:textId="4F2E2BA8" w:rsidR="00385144" w:rsidRPr="00DD162A" w:rsidRDefault="0023255F" w:rsidP="00385144">
            <w:pPr>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(38,180.8)</w:t>
            </w:r>
          </w:p>
        </w:tc>
        <w:tc>
          <w:tcPr>
            <w:tcW w:w="1370" w:type="dxa"/>
            <w:tcBorders>
              <w:top w:val="single" w:sz="8" w:space="0" w:color="auto"/>
              <w:left w:val="nil"/>
              <w:bottom w:val="single" w:sz="8" w:space="0" w:color="auto"/>
              <w:right w:val="nil"/>
            </w:tcBorders>
            <w:shd w:val="clear" w:color="auto" w:fill="auto"/>
            <w:vAlign w:val="center"/>
          </w:tcPr>
          <w:p w14:paraId="3E9B3FEE" w14:textId="2B479662" w:rsidR="00385144" w:rsidRPr="00DD162A" w:rsidRDefault="00385144" w:rsidP="00385144">
            <w:pPr>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(45,232.5)</w:t>
            </w:r>
          </w:p>
        </w:tc>
        <w:tc>
          <w:tcPr>
            <w:tcW w:w="1371" w:type="dxa"/>
            <w:tcBorders>
              <w:top w:val="single" w:sz="8" w:space="0" w:color="auto"/>
              <w:left w:val="nil"/>
              <w:bottom w:val="single" w:sz="8" w:space="0" w:color="auto"/>
              <w:right w:val="nil"/>
            </w:tcBorders>
            <w:vAlign w:val="center"/>
          </w:tcPr>
          <w:p w14:paraId="64F0529E" w14:textId="1612FF16" w:rsidR="00385144" w:rsidRPr="00A64700" w:rsidRDefault="00385144" w:rsidP="00385144">
            <w:pPr>
              <w:ind w:right="-107"/>
              <w:jc w:val="right"/>
              <w:rPr>
                <w:rFonts w:ascii="Arial" w:eastAsia="Times New Roman" w:hAnsi="Arial" w:cs="Arial"/>
                <w:b/>
                <w:bCs/>
                <w:color w:val="000000"/>
                <w:sz w:val="20"/>
                <w:szCs w:val="20"/>
                <w:lang w:eastAsia="en-GB"/>
              </w:rPr>
            </w:pPr>
            <w:r w:rsidRPr="00A64700">
              <w:rPr>
                <w:rFonts w:ascii="Arial" w:eastAsia="Times New Roman" w:hAnsi="Arial" w:cs="Arial"/>
                <w:b/>
                <w:bCs/>
                <w:color w:val="000000"/>
                <w:sz w:val="20"/>
                <w:szCs w:val="20"/>
                <w:lang w:eastAsia="en-GB"/>
              </w:rPr>
              <w:t>(42,218.9)</w:t>
            </w:r>
          </w:p>
        </w:tc>
      </w:tr>
      <w:tr w:rsidR="00385144" w:rsidRPr="00DD162A" w14:paraId="728E9DFE" w14:textId="77777777" w:rsidTr="00B82B88">
        <w:trPr>
          <w:trHeight w:val="294"/>
        </w:trPr>
        <w:tc>
          <w:tcPr>
            <w:tcW w:w="4287" w:type="dxa"/>
            <w:tcBorders>
              <w:top w:val="nil"/>
              <w:left w:val="nil"/>
              <w:bottom w:val="nil"/>
              <w:right w:val="nil"/>
            </w:tcBorders>
            <w:shd w:val="clear" w:color="auto" w:fill="auto"/>
            <w:noWrap/>
            <w:vAlign w:val="center"/>
            <w:hideMark/>
          </w:tcPr>
          <w:p w14:paraId="51C3F037" w14:textId="77777777" w:rsidR="00385144" w:rsidRPr="00DD162A" w:rsidRDefault="00385144" w:rsidP="00385144">
            <w:pPr>
              <w:rPr>
                <w:rFonts w:ascii="Arial" w:eastAsia="Times New Roman" w:hAnsi="Arial" w:cs="Arial"/>
                <w:b/>
                <w:bCs/>
                <w:color w:val="000000"/>
                <w:sz w:val="20"/>
                <w:szCs w:val="20"/>
                <w:lang w:eastAsia="en-GB"/>
              </w:rPr>
            </w:pPr>
          </w:p>
        </w:tc>
        <w:tc>
          <w:tcPr>
            <w:tcW w:w="708" w:type="dxa"/>
            <w:tcBorders>
              <w:top w:val="nil"/>
              <w:left w:val="nil"/>
              <w:bottom w:val="nil"/>
              <w:right w:val="nil"/>
            </w:tcBorders>
            <w:shd w:val="clear" w:color="auto" w:fill="auto"/>
            <w:noWrap/>
            <w:vAlign w:val="center"/>
          </w:tcPr>
          <w:p w14:paraId="64E34D96" w14:textId="77777777" w:rsidR="00385144" w:rsidRPr="00DD162A" w:rsidRDefault="00385144" w:rsidP="00385144">
            <w:pPr>
              <w:jc w:val="center"/>
              <w:rPr>
                <w:rFonts w:ascii="Arial" w:eastAsia="Times New Roman" w:hAnsi="Arial" w:cs="Arial"/>
                <w:sz w:val="20"/>
                <w:szCs w:val="20"/>
                <w:lang w:eastAsia="en-GB"/>
              </w:rPr>
            </w:pPr>
          </w:p>
        </w:tc>
        <w:tc>
          <w:tcPr>
            <w:tcW w:w="1370" w:type="dxa"/>
            <w:tcBorders>
              <w:top w:val="nil"/>
              <w:left w:val="nil"/>
              <w:bottom w:val="single" w:sz="8" w:space="0" w:color="auto"/>
              <w:right w:val="nil"/>
            </w:tcBorders>
            <w:vAlign w:val="center"/>
          </w:tcPr>
          <w:p w14:paraId="7F246B00" w14:textId="77777777" w:rsidR="00385144" w:rsidRPr="00DD162A" w:rsidRDefault="00385144" w:rsidP="00385144">
            <w:pPr>
              <w:jc w:val="right"/>
              <w:rPr>
                <w:rFonts w:ascii="Arial" w:eastAsia="Times New Roman" w:hAnsi="Arial" w:cs="Arial"/>
                <w:b/>
                <w:bCs/>
                <w:color w:val="000000"/>
                <w:sz w:val="20"/>
                <w:szCs w:val="20"/>
                <w:lang w:eastAsia="en-GB"/>
              </w:rPr>
            </w:pPr>
          </w:p>
        </w:tc>
        <w:tc>
          <w:tcPr>
            <w:tcW w:w="1370" w:type="dxa"/>
            <w:tcBorders>
              <w:top w:val="nil"/>
              <w:left w:val="nil"/>
              <w:bottom w:val="single" w:sz="8" w:space="0" w:color="auto"/>
              <w:right w:val="nil"/>
            </w:tcBorders>
            <w:shd w:val="clear" w:color="auto" w:fill="auto"/>
            <w:vAlign w:val="center"/>
          </w:tcPr>
          <w:p w14:paraId="3329D457" w14:textId="77777777" w:rsidR="00385144" w:rsidRPr="00DD162A" w:rsidRDefault="00385144" w:rsidP="00385144">
            <w:pPr>
              <w:jc w:val="right"/>
              <w:rPr>
                <w:rFonts w:ascii="Arial" w:eastAsia="Times New Roman" w:hAnsi="Arial" w:cs="Arial"/>
                <w:b/>
                <w:bCs/>
                <w:color w:val="000000"/>
                <w:sz w:val="20"/>
                <w:szCs w:val="20"/>
                <w:lang w:eastAsia="en-GB"/>
              </w:rPr>
            </w:pPr>
          </w:p>
        </w:tc>
        <w:tc>
          <w:tcPr>
            <w:tcW w:w="1371" w:type="dxa"/>
            <w:tcBorders>
              <w:top w:val="nil"/>
              <w:left w:val="nil"/>
              <w:bottom w:val="single" w:sz="8" w:space="0" w:color="auto"/>
              <w:right w:val="nil"/>
            </w:tcBorders>
            <w:vAlign w:val="center"/>
          </w:tcPr>
          <w:p w14:paraId="66C3D276" w14:textId="77777777" w:rsidR="00385144" w:rsidRPr="00337096" w:rsidRDefault="00385144" w:rsidP="00385144">
            <w:pPr>
              <w:ind w:right="-107"/>
              <w:jc w:val="right"/>
              <w:rPr>
                <w:rFonts w:ascii="Arial" w:eastAsia="Times New Roman" w:hAnsi="Arial" w:cs="Arial"/>
                <w:b/>
                <w:bCs/>
                <w:color w:val="000000"/>
                <w:sz w:val="20"/>
                <w:szCs w:val="20"/>
                <w:lang w:eastAsia="en-GB"/>
              </w:rPr>
            </w:pPr>
          </w:p>
        </w:tc>
      </w:tr>
      <w:tr w:rsidR="00385144" w:rsidRPr="00DD162A" w14:paraId="59FB0BB5" w14:textId="77777777" w:rsidTr="00B82B88">
        <w:trPr>
          <w:trHeight w:val="294"/>
        </w:trPr>
        <w:tc>
          <w:tcPr>
            <w:tcW w:w="4287" w:type="dxa"/>
            <w:tcBorders>
              <w:top w:val="nil"/>
              <w:left w:val="nil"/>
              <w:bottom w:val="nil"/>
              <w:right w:val="nil"/>
            </w:tcBorders>
            <w:shd w:val="clear" w:color="auto" w:fill="auto"/>
            <w:noWrap/>
            <w:vAlign w:val="center"/>
            <w:hideMark/>
          </w:tcPr>
          <w:p w14:paraId="6450180D" w14:textId="77777777" w:rsidR="00385144" w:rsidRPr="00DD162A" w:rsidRDefault="00385144" w:rsidP="00385144">
            <w:pP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Net assets</w:t>
            </w:r>
          </w:p>
        </w:tc>
        <w:tc>
          <w:tcPr>
            <w:tcW w:w="708" w:type="dxa"/>
            <w:tcBorders>
              <w:top w:val="nil"/>
              <w:left w:val="nil"/>
              <w:bottom w:val="nil"/>
              <w:right w:val="nil"/>
            </w:tcBorders>
            <w:shd w:val="clear" w:color="auto" w:fill="auto"/>
            <w:noWrap/>
            <w:vAlign w:val="center"/>
          </w:tcPr>
          <w:p w14:paraId="6FB79CFC" w14:textId="77777777" w:rsidR="00385144" w:rsidRPr="00DD162A" w:rsidRDefault="00385144" w:rsidP="00385144">
            <w:pPr>
              <w:jc w:val="center"/>
              <w:rPr>
                <w:rFonts w:ascii="Arial" w:eastAsia="Times New Roman" w:hAnsi="Arial" w:cs="Arial"/>
                <w:b/>
                <w:bCs/>
                <w:color w:val="000000"/>
                <w:sz w:val="20"/>
                <w:szCs w:val="20"/>
                <w:lang w:eastAsia="en-GB"/>
              </w:rPr>
            </w:pPr>
          </w:p>
        </w:tc>
        <w:tc>
          <w:tcPr>
            <w:tcW w:w="1370" w:type="dxa"/>
            <w:tcBorders>
              <w:top w:val="nil"/>
              <w:left w:val="nil"/>
              <w:bottom w:val="single" w:sz="8" w:space="0" w:color="auto"/>
              <w:right w:val="nil"/>
            </w:tcBorders>
            <w:vAlign w:val="center"/>
          </w:tcPr>
          <w:p w14:paraId="720E6FD2" w14:textId="59A297BF" w:rsidR="00385144" w:rsidRPr="00DD162A" w:rsidRDefault="0023255F" w:rsidP="00385144">
            <w:pPr>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200,535.4</w:t>
            </w:r>
          </w:p>
        </w:tc>
        <w:tc>
          <w:tcPr>
            <w:tcW w:w="1370" w:type="dxa"/>
            <w:tcBorders>
              <w:top w:val="nil"/>
              <w:left w:val="nil"/>
              <w:bottom w:val="single" w:sz="8" w:space="0" w:color="auto"/>
              <w:right w:val="nil"/>
            </w:tcBorders>
            <w:shd w:val="clear" w:color="auto" w:fill="auto"/>
            <w:vAlign w:val="center"/>
          </w:tcPr>
          <w:p w14:paraId="2EE4CA4B" w14:textId="7460F515" w:rsidR="00385144" w:rsidRPr="00DD162A" w:rsidRDefault="00385144" w:rsidP="00385144">
            <w:pPr>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148,863.8</w:t>
            </w:r>
          </w:p>
        </w:tc>
        <w:tc>
          <w:tcPr>
            <w:tcW w:w="1371" w:type="dxa"/>
            <w:tcBorders>
              <w:top w:val="nil"/>
              <w:left w:val="nil"/>
              <w:bottom w:val="single" w:sz="8" w:space="0" w:color="auto"/>
              <w:right w:val="nil"/>
            </w:tcBorders>
            <w:vAlign w:val="center"/>
          </w:tcPr>
          <w:p w14:paraId="1A317498" w14:textId="5C816110" w:rsidR="00385144" w:rsidRPr="00A64700" w:rsidRDefault="00385144" w:rsidP="00385144">
            <w:pPr>
              <w:ind w:right="-107"/>
              <w:jc w:val="right"/>
              <w:rPr>
                <w:rFonts w:ascii="Arial" w:eastAsia="Times New Roman" w:hAnsi="Arial" w:cs="Arial"/>
                <w:b/>
                <w:color w:val="000000"/>
                <w:sz w:val="20"/>
                <w:szCs w:val="20"/>
                <w:lang w:eastAsia="en-GB"/>
              </w:rPr>
            </w:pPr>
            <w:r w:rsidRPr="00A64700">
              <w:rPr>
                <w:rFonts w:ascii="Arial" w:eastAsia="Times New Roman" w:hAnsi="Arial" w:cs="Arial"/>
                <w:b/>
                <w:color w:val="000000"/>
                <w:sz w:val="20"/>
                <w:szCs w:val="20"/>
                <w:lang w:eastAsia="en-GB"/>
              </w:rPr>
              <w:t>183,165.5</w:t>
            </w:r>
          </w:p>
        </w:tc>
      </w:tr>
      <w:tr w:rsidR="00385144" w:rsidRPr="00DD162A" w14:paraId="562E580C" w14:textId="77777777" w:rsidTr="00B82B88">
        <w:trPr>
          <w:trHeight w:val="288"/>
        </w:trPr>
        <w:tc>
          <w:tcPr>
            <w:tcW w:w="4287" w:type="dxa"/>
            <w:tcBorders>
              <w:top w:val="nil"/>
              <w:left w:val="nil"/>
              <w:bottom w:val="nil"/>
              <w:right w:val="nil"/>
            </w:tcBorders>
            <w:shd w:val="clear" w:color="auto" w:fill="auto"/>
            <w:noWrap/>
            <w:vAlign w:val="center"/>
            <w:hideMark/>
          </w:tcPr>
          <w:p w14:paraId="0EFCFCF1" w14:textId="77777777" w:rsidR="00385144" w:rsidRPr="00DD162A" w:rsidRDefault="00385144" w:rsidP="00385144">
            <w:pPr>
              <w:rPr>
                <w:rFonts w:ascii="Arial" w:eastAsia="Times New Roman" w:hAnsi="Arial" w:cs="Arial"/>
                <w:b/>
                <w:bCs/>
                <w:color w:val="000000"/>
                <w:sz w:val="20"/>
                <w:szCs w:val="20"/>
                <w:lang w:eastAsia="en-GB"/>
              </w:rPr>
            </w:pPr>
          </w:p>
        </w:tc>
        <w:tc>
          <w:tcPr>
            <w:tcW w:w="708" w:type="dxa"/>
            <w:tcBorders>
              <w:top w:val="nil"/>
              <w:left w:val="nil"/>
              <w:bottom w:val="nil"/>
              <w:right w:val="nil"/>
            </w:tcBorders>
            <w:shd w:val="clear" w:color="auto" w:fill="auto"/>
            <w:noWrap/>
            <w:vAlign w:val="center"/>
          </w:tcPr>
          <w:p w14:paraId="1A806964" w14:textId="77777777" w:rsidR="00385144" w:rsidRPr="00DD162A" w:rsidRDefault="00385144" w:rsidP="00385144">
            <w:pPr>
              <w:jc w:val="center"/>
              <w:rPr>
                <w:rFonts w:ascii="Arial" w:eastAsia="Times New Roman" w:hAnsi="Arial" w:cs="Arial"/>
                <w:sz w:val="20"/>
                <w:szCs w:val="20"/>
                <w:lang w:eastAsia="en-GB"/>
              </w:rPr>
            </w:pPr>
          </w:p>
        </w:tc>
        <w:tc>
          <w:tcPr>
            <w:tcW w:w="1370" w:type="dxa"/>
            <w:tcBorders>
              <w:top w:val="nil"/>
              <w:left w:val="nil"/>
              <w:bottom w:val="nil"/>
              <w:right w:val="nil"/>
            </w:tcBorders>
            <w:vAlign w:val="center"/>
          </w:tcPr>
          <w:p w14:paraId="4B57F1E0" w14:textId="77777777" w:rsidR="00385144" w:rsidRPr="00DD162A" w:rsidRDefault="00385144" w:rsidP="00385144">
            <w:pPr>
              <w:jc w:val="right"/>
              <w:rPr>
                <w:rFonts w:ascii="Arial" w:eastAsia="Times New Roman" w:hAnsi="Arial" w:cs="Arial"/>
                <w:sz w:val="20"/>
                <w:szCs w:val="20"/>
                <w:lang w:eastAsia="en-GB"/>
              </w:rPr>
            </w:pPr>
          </w:p>
        </w:tc>
        <w:tc>
          <w:tcPr>
            <w:tcW w:w="1370" w:type="dxa"/>
            <w:tcBorders>
              <w:top w:val="nil"/>
              <w:left w:val="nil"/>
              <w:bottom w:val="nil"/>
              <w:right w:val="nil"/>
            </w:tcBorders>
            <w:shd w:val="clear" w:color="auto" w:fill="auto"/>
            <w:noWrap/>
            <w:vAlign w:val="center"/>
          </w:tcPr>
          <w:p w14:paraId="07E70255" w14:textId="77777777" w:rsidR="00385144" w:rsidRPr="00DD162A" w:rsidRDefault="00385144" w:rsidP="00385144">
            <w:pPr>
              <w:jc w:val="right"/>
              <w:rPr>
                <w:rFonts w:ascii="Arial" w:eastAsia="Times New Roman" w:hAnsi="Arial" w:cs="Arial"/>
                <w:sz w:val="20"/>
                <w:szCs w:val="20"/>
                <w:lang w:eastAsia="en-GB"/>
              </w:rPr>
            </w:pPr>
          </w:p>
        </w:tc>
        <w:tc>
          <w:tcPr>
            <w:tcW w:w="1371" w:type="dxa"/>
            <w:tcBorders>
              <w:top w:val="nil"/>
              <w:left w:val="nil"/>
              <w:bottom w:val="nil"/>
              <w:right w:val="nil"/>
            </w:tcBorders>
            <w:vAlign w:val="center"/>
          </w:tcPr>
          <w:p w14:paraId="44513632" w14:textId="77777777" w:rsidR="00385144" w:rsidRPr="00337096" w:rsidRDefault="00385144" w:rsidP="00385144">
            <w:pPr>
              <w:ind w:right="-107"/>
              <w:jc w:val="right"/>
              <w:rPr>
                <w:rFonts w:ascii="Arial" w:eastAsia="Times New Roman" w:hAnsi="Arial" w:cs="Arial"/>
                <w:b/>
                <w:bCs/>
                <w:color w:val="000000"/>
                <w:sz w:val="20"/>
                <w:szCs w:val="20"/>
                <w:lang w:eastAsia="en-GB"/>
              </w:rPr>
            </w:pPr>
          </w:p>
        </w:tc>
      </w:tr>
      <w:tr w:rsidR="00385144" w:rsidRPr="00DD162A" w14:paraId="30CBFE61" w14:textId="77777777" w:rsidTr="00B82B88">
        <w:trPr>
          <w:trHeight w:val="288"/>
        </w:trPr>
        <w:tc>
          <w:tcPr>
            <w:tcW w:w="4287" w:type="dxa"/>
            <w:tcBorders>
              <w:top w:val="nil"/>
              <w:left w:val="nil"/>
              <w:bottom w:val="nil"/>
              <w:right w:val="nil"/>
            </w:tcBorders>
            <w:shd w:val="clear" w:color="auto" w:fill="auto"/>
            <w:noWrap/>
            <w:vAlign w:val="center"/>
            <w:hideMark/>
          </w:tcPr>
          <w:p w14:paraId="4AF4A77D" w14:textId="77777777" w:rsidR="00385144" w:rsidRPr="00DD162A" w:rsidRDefault="00385144" w:rsidP="00385144">
            <w:pPr>
              <w:rPr>
                <w:rFonts w:ascii="Arial" w:eastAsia="Times New Roman" w:hAnsi="Arial" w:cs="Arial"/>
                <w:b/>
                <w:bCs/>
                <w:color w:val="000000"/>
                <w:sz w:val="20"/>
                <w:szCs w:val="20"/>
                <w:lang w:eastAsia="en-GB"/>
              </w:rPr>
            </w:pPr>
            <w:r w:rsidRPr="00DD162A">
              <w:rPr>
                <w:rFonts w:ascii="Arial" w:eastAsia="Times New Roman" w:hAnsi="Arial" w:cs="Arial"/>
                <w:b/>
                <w:bCs/>
                <w:color w:val="000000"/>
                <w:sz w:val="20"/>
                <w:szCs w:val="20"/>
                <w:lang w:eastAsia="en-GB"/>
              </w:rPr>
              <w:t>Equity attributable to equity holders of the company</w:t>
            </w:r>
          </w:p>
        </w:tc>
        <w:tc>
          <w:tcPr>
            <w:tcW w:w="708" w:type="dxa"/>
            <w:tcBorders>
              <w:top w:val="nil"/>
              <w:left w:val="nil"/>
              <w:bottom w:val="nil"/>
              <w:right w:val="nil"/>
            </w:tcBorders>
            <w:shd w:val="clear" w:color="auto" w:fill="auto"/>
            <w:noWrap/>
            <w:vAlign w:val="center"/>
          </w:tcPr>
          <w:p w14:paraId="26CA4C2A" w14:textId="77777777" w:rsidR="00385144" w:rsidRPr="00DD162A" w:rsidRDefault="00385144" w:rsidP="00385144">
            <w:pPr>
              <w:jc w:val="center"/>
              <w:rPr>
                <w:rFonts w:ascii="Arial" w:eastAsia="Times New Roman" w:hAnsi="Arial" w:cs="Arial"/>
                <w:b/>
                <w:bCs/>
                <w:color w:val="000000"/>
                <w:sz w:val="20"/>
                <w:szCs w:val="20"/>
                <w:lang w:eastAsia="en-GB"/>
              </w:rPr>
            </w:pPr>
          </w:p>
        </w:tc>
        <w:tc>
          <w:tcPr>
            <w:tcW w:w="1370" w:type="dxa"/>
            <w:tcBorders>
              <w:top w:val="nil"/>
              <w:left w:val="nil"/>
              <w:bottom w:val="nil"/>
              <w:right w:val="nil"/>
            </w:tcBorders>
            <w:vAlign w:val="center"/>
          </w:tcPr>
          <w:p w14:paraId="39D8B45C" w14:textId="77777777" w:rsidR="00385144" w:rsidRPr="00DD162A" w:rsidRDefault="00385144" w:rsidP="00385144">
            <w:pPr>
              <w:jc w:val="right"/>
              <w:rPr>
                <w:rFonts w:ascii="Arial" w:eastAsia="Times New Roman" w:hAnsi="Arial" w:cs="Arial"/>
                <w:sz w:val="20"/>
                <w:szCs w:val="20"/>
                <w:lang w:eastAsia="en-GB"/>
              </w:rPr>
            </w:pPr>
          </w:p>
        </w:tc>
        <w:tc>
          <w:tcPr>
            <w:tcW w:w="1370" w:type="dxa"/>
            <w:tcBorders>
              <w:top w:val="nil"/>
              <w:left w:val="nil"/>
              <w:bottom w:val="nil"/>
              <w:right w:val="nil"/>
            </w:tcBorders>
            <w:shd w:val="clear" w:color="auto" w:fill="auto"/>
            <w:noWrap/>
            <w:vAlign w:val="center"/>
          </w:tcPr>
          <w:p w14:paraId="498C03BD" w14:textId="77777777" w:rsidR="00385144" w:rsidRPr="00DD162A" w:rsidRDefault="00385144" w:rsidP="00385144">
            <w:pPr>
              <w:jc w:val="right"/>
              <w:rPr>
                <w:rFonts w:ascii="Arial" w:eastAsia="Times New Roman" w:hAnsi="Arial" w:cs="Arial"/>
                <w:sz w:val="20"/>
                <w:szCs w:val="20"/>
                <w:lang w:eastAsia="en-GB"/>
              </w:rPr>
            </w:pPr>
          </w:p>
        </w:tc>
        <w:tc>
          <w:tcPr>
            <w:tcW w:w="1371" w:type="dxa"/>
            <w:tcBorders>
              <w:top w:val="nil"/>
              <w:left w:val="nil"/>
              <w:bottom w:val="nil"/>
              <w:right w:val="nil"/>
            </w:tcBorders>
            <w:vAlign w:val="center"/>
          </w:tcPr>
          <w:p w14:paraId="1B784D18" w14:textId="77777777" w:rsidR="00385144" w:rsidRPr="00337096" w:rsidRDefault="00385144" w:rsidP="00385144">
            <w:pPr>
              <w:ind w:right="-107"/>
              <w:jc w:val="right"/>
              <w:rPr>
                <w:rFonts w:ascii="Arial" w:eastAsia="Times New Roman" w:hAnsi="Arial" w:cs="Arial"/>
                <w:b/>
                <w:bCs/>
                <w:color w:val="000000"/>
                <w:sz w:val="20"/>
                <w:szCs w:val="20"/>
                <w:lang w:eastAsia="en-GB"/>
              </w:rPr>
            </w:pPr>
          </w:p>
        </w:tc>
      </w:tr>
      <w:tr w:rsidR="00385144" w:rsidRPr="00DD162A" w14:paraId="72B29762" w14:textId="77777777" w:rsidTr="00B82B88">
        <w:trPr>
          <w:trHeight w:val="288"/>
        </w:trPr>
        <w:tc>
          <w:tcPr>
            <w:tcW w:w="4287" w:type="dxa"/>
            <w:tcBorders>
              <w:top w:val="nil"/>
              <w:left w:val="nil"/>
              <w:bottom w:val="nil"/>
              <w:right w:val="nil"/>
            </w:tcBorders>
            <w:shd w:val="clear" w:color="auto" w:fill="auto"/>
            <w:noWrap/>
            <w:vAlign w:val="center"/>
            <w:hideMark/>
          </w:tcPr>
          <w:p w14:paraId="1CEAA722" w14:textId="77777777" w:rsidR="00385144" w:rsidRPr="00DD162A" w:rsidRDefault="00385144" w:rsidP="00385144">
            <w:pPr>
              <w:rPr>
                <w:rFonts w:ascii="Arial" w:eastAsia="Times New Roman" w:hAnsi="Arial" w:cs="Arial"/>
                <w:color w:val="000000"/>
                <w:sz w:val="20"/>
                <w:szCs w:val="20"/>
                <w:lang w:eastAsia="en-GB"/>
              </w:rPr>
            </w:pPr>
            <w:r w:rsidRPr="00DD162A">
              <w:rPr>
                <w:rFonts w:ascii="Arial" w:eastAsia="Times New Roman" w:hAnsi="Arial" w:cs="Arial"/>
                <w:color w:val="000000"/>
                <w:sz w:val="20"/>
                <w:szCs w:val="20"/>
                <w:lang w:eastAsia="en-GB"/>
              </w:rPr>
              <w:t>Share capital</w:t>
            </w:r>
          </w:p>
        </w:tc>
        <w:tc>
          <w:tcPr>
            <w:tcW w:w="708" w:type="dxa"/>
            <w:tcBorders>
              <w:top w:val="nil"/>
              <w:left w:val="nil"/>
              <w:bottom w:val="nil"/>
              <w:right w:val="nil"/>
            </w:tcBorders>
            <w:shd w:val="clear" w:color="auto" w:fill="auto"/>
            <w:noWrap/>
            <w:vAlign w:val="center"/>
          </w:tcPr>
          <w:p w14:paraId="711A794C" w14:textId="77777777" w:rsidR="00385144" w:rsidRPr="00DD162A" w:rsidRDefault="00385144" w:rsidP="00385144">
            <w:pPr>
              <w:jc w:val="center"/>
              <w:rPr>
                <w:rFonts w:ascii="Arial" w:eastAsia="Times New Roman" w:hAnsi="Arial" w:cs="Arial"/>
                <w:color w:val="000000"/>
                <w:sz w:val="20"/>
                <w:szCs w:val="20"/>
                <w:lang w:eastAsia="en-GB"/>
              </w:rPr>
            </w:pPr>
          </w:p>
        </w:tc>
        <w:tc>
          <w:tcPr>
            <w:tcW w:w="1370" w:type="dxa"/>
            <w:tcBorders>
              <w:top w:val="nil"/>
              <w:left w:val="nil"/>
              <w:bottom w:val="nil"/>
              <w:right w:val="nil"/>
            </w:tcBorders>
            <w:vAlign w:val="center"/>
          </w:tcPr>
          <w:p w14:paraId="1FAC506C" w14:textId="6768B1D3" w:rsidR="00385144" w:rsidRPr="00DD162A" w:rsidRDefault="0023255F" w:rsidP="00385144">
            <w:pPr>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290.3</w:t>
            </w:r>
          </w:p>
        </w:tc>
        <w:tc>
          <w:tcPr>
            <w:tcW w:w="1370" w:type="dxa"/>
            <w:tcBorders>
              <w:top w:val="nil"/>
              <w:left w:val="nil"/>
              <w:bottom w:val="nil"/>
              <w:right w:val="nil"/>
            </w:tcBorders>
            <w:shd w:val="clear" w:color="auto" w:fill="auto"/>
            <w:noWrap/>
            <w:vAlign w:val="center"/>
          </w:tcPr>
          <w:p w14:paraId="309603CC" w14:textId="5C7F63C6" w:rsidR="00385144" w:rsidRPr="00DD162A" w:rsidRDefault="00385144" w:rsidP="00385144">
            <w:pPr>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288.8</w:t>
            </w:r>
          </w:p>
        </w:tc>
        <w:tc>
          <w:tcPr>
            <w:tcW w:w="1371" w:type="dxa"/>
            <w:tcBorders>
              <w:top w:val="nil"/>
              <w:left w:val="nil"/>
              <w:bottom w:val="nil"/>
              <w:right w:val="nil"/>
            </w:tcBorders>
            <w:vAlign w:val="center"/>
          </w:tcPr>
          <w:p w14:paraId="061C644E" w14:textId="231D53CC" w:rsidR="00385144" w:rsidRPr="00337096" w:rsidRDefault="00385144" w:rsidP="00385144">
            <w:pPr>
              <w:ind w:right="-107"/>
              <w:jc w:val="right"/>
              <w:rPr>
                <w:rFonts w:ascii="Arial" w:eastAsia="Times New Roman" w:hAnsi="Arial" w:cs="Arial"/>
                <w:bCs/>
                <w:color w:val="000000"/>
                <w:sz w:val="20"/>
                <w:szCs w:val="20"/>
                <w:lang w:eastAsia="en-GB"/>
              </w:rPr>
            </w:pPr>
            <w:r w:rsidRPr="004F3092">
              <w:rPr>
                <w:rFonts w:ascii="Arial" w:hAnsi="Arial" w:cs="Arial"/>
                <w:color w:val="000000"/>
                <w:sz w:val="20"/>
                <w:szCs w:val="20"/>
              </w:rPr>
              <w:t>290.3</w:t>
            </w:r>
          </w:p>
        </w:tc>
      </w:tr>
      <w:tr w:rsidR="00385144" w:rsidRPr="00DD162A" w14:paraId="75FE8BAE" w14:textId="77777777" w:rsidTr="00B82B88">
        <w:trPr>
          <w:trHeight w:val="288"/>
        </w:trPr>
        <w:tc>
          <w:tcPr>
            <w:tcW w:w="4287" w:type="dxa"/>
            <w:tcBorders>
              <w:top w:val="nil"/>
              <w:left w:val="nil"/>
              <w:bottom w:val="nil"/>
              <w:right w:val="nil"/>
            </w:tcBorders>
            <w:shd w:val="clear" w:color="auto" w:fill="auto"/>
            <w:noWrap/>
            <w:vAlign w:val="center"/>
            <w:hideMark/>
          </w:tcPr>
          <w:p w14:paraId="48667F6A" w14:textId="77777777" w:rsidR="00385144" w:rsidRPr="00DD162A" w:rsidRDefault="00385144" w:rsidP="00385144">
            <w:pPr>
              <w:rPr>
                <w:rFonts w:ascii="Arial" w:eastAsia="Times New Roman" w:hAnsi="Arial" w:cs="Arial"/>
                <w:color w:val="000000"/>
                <w:sz w:val="20"/>
                <w:szCs w:val="20"/>
                <w:lang w:eastAsia="en-GB"/>
              </w:rPr>
            </w:pPr>
            <w:r w:rsidRPr="00DD162A">
              <w:rPr>
                <w:rFonts w:ascii="Arial" w:eastAsia="Times New Roman" w:hAnsi="Arial" w:cs="Arial"/>
                <w:color w:val="000000"/>
                <w:sz w:val="20"/>
                <w:szCs w:val="20"/>
                <w:lang w:eastAsia="en-GB"/>
              </w:rPr>
              <w:t>Share premium</w:t>
            </w:r>
          </w:p>
        </w:tc>
        <w:tc>
          <w:tcPr>
            <w:tcW w:w="708" w:type="dxa"/>
            <w:tcBorders>
              <w:top w:val="nil"/>
              <w:left w:val="nil"/>
              <w:bottom w:val="nil"/>
              <w:right w:val="nil"/>
            </w:tcBorders>
            <w:shd w:val="clear" w:color="auto" w:fill="auto"/>
            <w:noWrap/>
            <w:vAlign w:val="center"/>
          </w:tcPr>
          <w:p w14:paraId="1F32E63E" w14:textId="77777777" w:rsidR="00385144" w:rsidRPr="00DD162A" w:rsidRDefault="00385144" w:rsidP="00385144">
            <w:pPr>
              <w:jc w:val="center"/>
              <w:rPr>
                <w:rFonts w:ascii="Arial" w:eastAsia="Times New Roman" w:hAnsi="Arial" w:cs="Arial"/>
                <w:color w:val="000000"/>
                <w:sz w:val="20"/>
                <w:szCs w:val="20"/>
                <w:lang w:eastAsia="en-GB"/>
              </w:rPr>
            </w:pPr>
          </w:p>
        </w:tc>
        <w:tc>
          <w:tcPr>
            <w:tcW w:w="1370" w:type="dxa"/>
            <w:tcBorders>
              <w:top w:val="nil"/>
              <w:left w:val="nil"/>
              <w:bottom w:val="nil"/>
              <w:right w:val="nil"/>
            </w:tcBorders>
            <w:vAlign w:val="center"/>
          </w:tcPr>
          <w:p w14:paraId="7EB79F1A" w14:textId="0BABC3FC" w:rsidR="00385144" w:rsidRPr="00DD162A" w:rsidRDefault="0023255F" w:rsidP="00385144">
            <w:pPr>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54,783.1</w:t>
            </w:r>
          </w:p>
        </w:tc>
        <w:tc>
          <w:tcPr>
            <w:tcW w:w="1370" w:type="dxa"/>
            <w:tcBorders>
              <w:top w:val="nil"/>
              <w:left w:val="nil"/>
              <w:bottom w:val="nil"/>
              <w:right w:val="nil"/>
            </w:tcBorders>
            <w:shd w:val="clear" w:color="auto" w:fill="auto"/>
            <w:noWrap/>
            <w:vAlign w:val="center"/>
          </w:tcPr>
          <w:p w14:paraId="655FACB1" w14:textId="1E2384F0" w:rsidR="00385144" w:rsidRPr="00DD162A" w:rsidRDefault="00385144" w:rsidP="00385144">
            <w:pPr>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53,883.9</w:t>
            </w:r>
          </w:p>
        </w:tc>
        <w:tc>
          <w:tcPr>
            <w:tcW w:w="1371" w:type="dxa"/>
            <w:tcBorders>
              <w:top w:val="nil"/>
              <w:left w:val="nil"/>
              <w:bottom w:val="nil"/>
              <w:right w:val="nil"/>
            </w:tcBorders>
            <w:vAlign w:val="center"/>
          </w:tcPr>
          <w:p w14:paraId="2270F312" w14:textId="37247521" w:rsidR="00385144" w:rsidRPr="00337096" w:rsidRDefault="00385144" w:rsidP="00385144">
            <w:pPr>
              <w:ind w:right="-107"/>
              <w:jc w:val="right"/>
              <w:rPr>
                <w:rFonts w:ascii="Arial" w:eastAsia="Times New Roman" w:hAnsi="Arial" w:cs="Arial"/>
                <w:bCs/>
                <w:color w:val="000000"/>
                <w:sz w:val="20"/>
                <w:szCs w:val="20"/>
                <w:lang w:eastAsia="en-GB"/>
              </w:rPr>
            </w:pPr>
            <w:r w:rsidRPr="004F3092">
              <w:rPr>
                <w:rFonts w:ascii="Arial" w:hAnsi="Arial" w:cs="Arial"/>
                <w:color w:val="000000"/>
                <w:sz w:val="20"/>
                <w:szCs w:val="20"/>
              </w:rPr>
              <w:t>54,769.5</w:t>
            </w:r>
          </w:p>
        </w:tc>
      </w:tr>
      <w:tr w:rsidR="00385144" w:rsidRPr="00DD162A" w14:paraId="72488B6E" w14:textId="77777777" w:rsidTr="00B82B88">
        <w:trPr>
          <w:trHeight w:val="288"/>
        </w:trPr>
        <w:tc>
          <w:tcPr>
            <w:tcW w:w="4287" w:type="dxa"/>
            <w:tcBorders>
              <w:top w:val="nil"/>
              <w:left w:val="nil"/>
              <w:bottom w:val="nil"/>
              <w:right w:val="nil"/>
            </w:tcBorders>
            <w:shd w:val="clear" w:color="auto" w:fill="auto"/>
            <w:noWrap/>
            <w:vAlign w:val="center"/>
          </w:tcPr>
          <w:p w14:paraId="4141865A" w14:textId="77777777" w:rsidR="00385144" w:rsidRPr="00DD162A" w:rsidRDefault="00385144" w:rsidP="00385144">
            <w:pPr>
              <w:rPr>
                <w:rFonts w:ascii="Arial" w:eastAsia="Times New Roman" w:hAnsi="Arial" w:cs="Arial"/>
                <w:color w:val="000000"/>
                <w:sz w:val="20"/>
                <w:szCs w:val="20"/>
                <w:lang w:eastAsia="en-GB"/>
              </w:rPr>
            </w:pPr>
            <w:r w:rsidRPr="00DD162A">
              <w:rPr>
                <w:rFonts w:ascii="Arial" w:eastAsia="Times New Roman" w:hAnsi="Arial" w:cs="Arial"/>
                <w:color w:val="000000"/>
                <w:sz w:val="20"/>
                <w:szCs w:val="20"/>
                <w:lang w:eastAsia="en-GB"/>
              </w:rPr>
              <w:t>Capital Redemption Reserve</w:t>
            </w:r>
          </w:p>
        </w:tc>
        <w:tc>
          <w:tcPr>
            <w:tcW w:w="708" w:type="dxa"/>
            <w:tcBorders>
              <w:top w:val="nil"/>
              <w:left w:val="nil"/>
              <w:bottom w:val="nil"/>
              <w:right w:val="nil"/>
            </w:tcBorders>
            <w:shd w:val="clear" w:color="auto" w:fill="auto"/>
            <w:noWrap/>
            <w:vAlign w:val="center"/>
          </w:tcPr>
          <w:p w14:paraId="09CBF328" w14:textId="77777777" w:rsidR="00385144" w:rsidRPr="00DD162A" w:rsidRDefault="00385144" w:rsidP="00385144">
            <w:pPr>
              <w:jc w:val="center"/>
              <w:rPr>
                <w:rFonts w:ascii="Arial" w:eastAsia="Times New Roman" w:hAnsi="Arial" w:cs="Arial"/>
                <w:color w:val="000000"/>
                <w:sz w:val="20"/>
                <w:szCs w:val="20"/>
                <w:lang w:eastAsia="en-GB"/>
              </w:rPr>
            </w:pPr>
          </w:p>
        </w:tc>
        <w:tc>
          <w:tcPr>
            <w:tcW w:w="1370" w:type="dxa"/>
            <w:tcBorders>
              <w:top w:val="nil"/>
              <w:left w:val="nil"/>
              <w:bottom w:val="nil"/>
              <w:right w:val="nil"/>
            </w:tcBorders>
            <w:vAlign w:val="center"/>
          </w:tcPr>
          <w:p w14:paraId="703BEB71" w14:textId="23D6A0CD" w:rsidR="00385144" w:rsidRPr="00DD162A" w:rsidRDefault="0023255F" w:rsidP="00385144">
            <w:pPr>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93.2</w:t>
            </w:r>
          </w:p>
        </w:tc>
        <w:tc>
          <w:tcPr>
            <w:tcW w:w="1370" w:type="dxa"/>
            <w:tcBorders>
              <w:top w:val="nil"/>
              <w:left w:val="nil"/>
              <w:bottom w:val="nil"/>
              <w:right w:val="nil"/>
            </w:tcBorders>
            <w:shd w:val="clear" w:color="auto" w:fill="auto"/>
            <w:noWrap/>
            <w:vAlign w:val="center"/>
          </w:tcPr>
          <w:p w14:paraId="45C44ACE" w14:textId="53AFB524" w:rsidR="00385144" w:rsidRPr="00DD162A" w:rsidRDefault="00385144" w:rsidP="00385144">
            <w:pPr>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93.2</w:t>
            </w:r>
          </w:p>
        </w:tc>
        <w:tc>
          <w:tcPr>
            <w:tcW w:w="1371" w:type="dxa"/>
            <w:tcBorders>
              <w:top w:val="nil"/>
              <w:left w:val="nil"/>
              <w:bottom w:val="nil"/>
              <w:right w:val="nil"/>
            </w:tcBorders>
            <w:vAlign w:val="center"/>
          </w:tcPr>
          <w:p w14:paraId="1676AB50" w14:textId="0CAE396D" w:rsidR="00385144" w:rsidRPr="00337096" w:rsidRDefault="00385144" w:rsidP="00385144">
            <w:pPr>
              <w:ind w:right="-107"/>
              <w:jc w:val="right"/>
              <w:rPr>
                <w:rFonts w:ascii="Arial" w:eastAsia="Times New Roman" w:hAnsi="Arial" w:cs="Arial"/>
                <w:bCs/>
                <w:color w:val="000000"/>
                <w:sz w:val="20"/>
                <w:szCs w:val="20"/>
                <w:lang w:eastAsia="en-GB"/>
              </w:rPr>
            </w:pPr>
            <w:r>
              <w:rPr>
                <w:rFonts w:ascii="Arial" w:hAnsi="Arial" w:cs="Arial"/>
                <w:color w:val="000000"/>
                <w:sz w:val="20"/>
                <w:szCs w:val="20"/>
              </w:rPr>
              <w:t>93.2</w:t>
            </w:r>
          </w:p>
        </w:tc>
      </w:tr>
      <w:tr w:rsidR="00385144" w:rsidRPr="00DD162A" w14:paraId="67756A93" w14:textId="77777777" w:rsidTr="00B82B88">
        <w:trPr>
          <w:trHeight w:val="288"/>
        </w:trPr>
        <w:tc>
          <w:tcPr>
            <w:tcW w:w="4287" w:type="dxa"/>
            <w:tcBorders>
              <w:top w:val="nil"/>
              <w:left w:val="nil"/>
              <w:bottom w:val="nil"/>
              <w:right w:val="nil"/>
            </w:tcBorders>
            <w:shd w:val="clear" w:color="auto" w:fill="auto"/>
            <w:noWrap/>
            <w:vAlign w:val="center"/>
          </w:tcPr>
          <w:p w14:paraId="6419F5FE" w14:textId="77777777" w:rsidR="00385144" w:rsidRPr="00DD162A" w:rsidRDefault="00385144" w:rsidP="00385144">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Translation Reserve</w:t>
            </w:r>
          </w:p>
        </w:tc>
        <w:tc>
          <w:tcPr>
            <w:tcW w:w="708" w:type="dxa"/>
            <w:tcBorders>
              <w:top w:val="nil"/>
              <w:left w:val="nil"/>
              <w:bottom w:val="nil"/>
              <w:right w:val="nil"/>
            </w:tcBorders>
            <w:shd w:val="clear" w:color="auto" w:fill="auto"/>
            <w:noWrap/>
            <w:vAlign w:val="center"/>
          </w:tcPr>
          <w:p w14:paraId="52FEF501" w14:textId="77777777" w:rsidR="00385144" w:rsidRPr="00DD162A" w:rsidRDefault="00385144" w:rsidP="00385144">
            <w:pPr>
              <w:jc w:val="center"/>
              <w:rPr>
                <w:rFonts w:ascii="Arial" w:eastAsia="Times New Roman" w:hAnsi="Arial" w:cs="Arial"/>
                <w:color w:val="000000"/>
                <w:sz w:val="20"/>
                <w:szCs w:val="20"/>
                <w:lang w:eastAsia="en-GB"/>
              </w:rPr>
            </w:pPr>
          </w:p>
        </w:tc>
        <w:tc>
          <w:tcPr>
            <w:tcW w:w="1370" w:type="dxa"/>
            <w:tcBorders>
              <w:top w:val="nil"/>
              <w:left w:val="nil"/>
              <w:bottom w:val="nil"/>
              <w:right w:val="nil"/>
            </w:tcBorders>
            <w:vAlign w:val="center"/>
          </w:tcPr>
          <w:p w14:paraId="1A09F823" w14:textId="52AD2336" w:rsidR="00385144" w:rsidRPr="00DD162A" w:rsidRDefault="0023255F" w:rsidP="00385144">
            <w:pPr>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(115.4)</w:t>
            </w:r>
          </w:p>
        </w:tc>
        <w:tc>
          <w:tcPr>
            <w:tcW w:w="1370" w:type="dxa"/>
            <w:tcBorders>
              <w:top w:val="nil"/>
              <w:left w:val="nil"/>
              <w:bottom w:val="nil"/>
              <w:right w:val="nil"/>
            </w:tcBorders>
            <w:shd w:val="clear" w:color="auto" w:fill="auto"/>
            <w:noWrap/>
            <w:vAlign w:val="center"/>
          </w:tcPr>
          <w:p w14:paraId="0B812937" w14:textId="16C50AA2" w:rsidR="00385144" w:rsidRDefault="00385144" w:rsidP="00385144">
            <w:pPr>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100.9</w:t>
            </w:r>
          </w:p>
        </w:tc>
        <w:tc>
          <w:tcPr>
            <w:tcW w:w="1371" w:type="dxa"/>
            <w:tcBorders>
              <w:top w:val="nil"/>
              <w:left w:val="nil"/>
              <w:bottom w:val="nil"/>
              <w:right w:val="nil"/>
            </w:tcBorders>
            <w:vAlign w:val="center"/>
          </w:tcPr>
          <w:p w14:paraId="7516D5EE" w14:textId="12DDB430" w:rsidR="00385144" w:rsidRPr="00337096" w:rsidRDefault="00385144" w:rsidP="00385144">
            <w:pPr>
              <w:ind w:right="-107"/>
              <w:jc w:val="right"/>
              <w:rPr>
                <w:rFonts w:ascii="Arial" w:eastAsia="Times New Roman" w:hAnsi="Arial" w:cs="Arial"/>
                <w:bCs/>
                <w:color w:val="000000"/>
                <w:sz w:val="20"/>
                <w:szCs w:val="20"/>
                <w:lang w:eastAsia="en-GB"/>
              </w:rPr>
            </w:pPr>
            <w:r>
              <w:rPr>
                <w:rFonts w:ascii="Arial" w:hAnsi="Arial" w:cs="Arial"/>
                <w:color w:val="000000"/>
                <w:sz w:val="20"/>
                <w:szCs w:val="20"/>
              </w:rPr>
              <w:t>(110.3)</w:t>
            </w:r>
          </w:p>
        </w:tc>
      </w:tr>
      <w:tr w:rsidR="00385144" w:rsidRPr="00DD162A" w14:paraId="55745924" w14:textId="77777777" w:rsidTr="00B82B88">
        <w:trPr>
          <w:trHeight w:val="288"/>
        </w:trPr>
        <w:tc>
          <w:tcPr>
            <w:tcW w:w="4287" w:type="dxa"/>
            <w:tcBorders>
              <w:top w:val="nil"/>
              <w:left w:val="nil"/>
              <w:bottom w:val="nil"/>
              <w:right w:val="nil"/>
            </w:tcBorders>
            <w:shd w:val="clear" w:color="auto" w:fill="auto"/>
            <w:noWrap/>
            <w:vAlign w:val="center"/>
            <w:hideMark/>
          </w:tcPr>
          <w:p w14:paraId="1E868257" w14:textId="77777777" w:rsidR="00385144" w:rsidRPr="00DD162A" w:rsidRDefault="00385144" w:rsidP="00385144">
            <w:pPr>
              <w:rPr>
                <w:rFonts w:ascii="Arial" w:eastAsia="Times New Roman" w:hAnsi="Arial" w:cs="Arial"/>
                <w:color w:val="000000"/>
                <w:sz w:val="20"/>
                <w:szCs w:val="20"/>
                <w:lang w:eastAsia="en-GB"/>
              </w:rPr>
            </w:pPr>
            <w:r w:rsidRPr="00DD162A">
              <w:rPr>
                <w:rFonts w:ascii="Arial" w:eastAsia="Times New Roman" w:hAnsi="Arial" w:cs="Arial"/>
                <w:color w:val="000000"/>
                <w:sz w:val="20"/>
                <w:szCs w:val="20"/>
                <w:lang w:eastAsia="en-GB"/>
              </w:rPr>
              <w:t>Retained earnings</w:t>
            </w:r>
          </w:p>
        </w:tc>
        <w:tc>
          <w:tcPr>
            <w:tcW w:w="708" w:type="dxa"/>
            <w:tcBorders>
              <w:top w:val="nil"/>
              <w:left w:val="nil"/>
              <w:bottom w:val="nil"/>
              <w:right w:val="nil"/>
            </w:tcBorders>
            <w:shd w:val="clear" w:color="auto" w:fill="auto"/>
            <w:noWrap/>
            <w:vAlign w:val="center"/>
          </w:tcPr>
          <w:p w14:paraId="2942FD87" w14:textId="77777777" w:rsidR="00385144" w:rsidRPr="00DD162A" w:rsidRDefault="00385144" w:rsidP="00385144">
            <w:pPr>
              <w:jc w:val="center"/>
              <w:rPr>
                <w:rFonts w:ascii="Arial" w:eastAsia="Times New Roman" w:hAnsi="Arial" w:cs="Arial"/>
                <w:color w:val="000000"/>
                <w:sz w:val="20"/>
                <w:szCs w:val="20"/>
                <w:lang w:eastAsia="en-GB"/>
              </w:rPr>
            </w:pPr>
          </w:p>
        </w:tc>
        <w:tc>
          <w:tcPr>
            <w:tcW w:w="1370" w:type="dxa"/>
            <w:tcBorders>
              <w:top w:val="nil"/>
              <w:left w:val="nil"/>
              <w:bottom w:val="nil"/>
              <w:right w:val="nil"/>
            </w:tcBorders>
            <w:vAlign w:val="center"/>
          </w:tcPr>
          <w:p w14:paraId="0A04E72F" w14:textId="72A72689" w:rsidR="00385144" w:rsidRPr="00DD162A" w:rsidRDefault="004237C1" w:rsidP="00385144">
            <w:pPr>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145,484.2</w:t>
            </w:r>
          </w:p>
        </w:tc>
        <w:tc>
          <w:tcPr>
            <w:tcW w:w="1370" w:type="dxa"/>
            <w:tcBorders>
              <w:top w:val="nil"/>
              <w:left w:val="nil"/>
              <w:bottom w:val="nil"/>
              <w:right w:val="nil"/>
            </w:tcBorders>
            <w:shd w:val="clear" w:color="auto" w:fill="auto"/>
            <w:noWrap/>
            <w:vAlign w:val="center"/>
          </w:tcPr>
          <w:p w14:paraId="79259FF5" w14:textId="2035B98D" w:rsidR="00385144" w:rsidRPr="00DD162A" w:rsidRDefault="00385144" w:rsidP="00385144">
            <w:pPr>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94,497.0</w:t>
            </w:r>
          </w:p>
        </w:tc>
        <w:tc>
          <w:tcPr>
            <w:tcW w:w="1371" w:type="dxa"/>
            <w:tcBorders>
              <w:top w:val="nil"/>
              <w:left w:val="nil"/>
              <w:bottom w:val="nil"/>
              <w:right w:val="nil"/>
            </w:tcBorders>
            <w:vAlign w:val="center"/>
          </w:tcPr>
          <w:p w14:paraId="33766873" w14:textId="5E5641A5" w:rsidR="00385144" w:rsidRPr="00337096" w:rsidRDefault="00385144" w:rsidP="00385144">
            <w:pPr>
              <w:ind w:right="-107"/>
              <w:jc w:val="right"/>
              <w:rPr>
                <w:rFonts w:ascii="Arial" w:eastAsia="Times New Roman" w:hAnsi="Arial" w:cs="Arial"/>
                <w:bCs/>
                <w:color w:val="000000"/>
                <w:sz w:val="20"/>
                <w:szCs w:val="20"/>
                <w:lang w:eastAsia="en-GB"/>
              </w:rPr>
            </w:pPr>
            <w:r w:rsidRPr="004F3092">
              <w:rPr>
                <w:rFonts w:ascii="Arial" w:hAnsi="Arial" w:cs="Arial"/>
                <w:sz w:val="20"/>
                <w:szCs w:val="20"/>
              </w:rPr>
              <w:t>128,122.8</w:t>
            </w:r>
          </w:p>
        </w:tc>
      </w:tr>
      <w:tr w:rsidR="00385144" w:rsidRPr="00DD162A" w14:paraId="5ACBF77A" w14:textId="77777777" w:rsidTr="00B82B88">
        <w:trPr>
          <w:trHeight w:val="294"/>
        </w:trPr>
        <w:tc>
          <w:tcPr>
            <w:tcW w:w="4287" w:type="dxa"/>
            <w:tcBorders>
              <w:top w:val="nil"/>
              <w:left w:val="nil"/>
              <w:bottom w:val="nil"/>
              <w:right w:val="nil"/>
            </w:tcBorders>
            <w:shd w:val="clear" w:color="auto" w:fill="auto"/>
            <w:noWrap/>
            <w:vAlign w:val="center"/>
            <w:hideMark/>
          </w:tcPr>
          <w:p w14:paraId="6B8C9A5C" w14:textId="77777777" w:rsidR="00385144" w:rsidRPr="00DD162A" w:rsidRDefault="00385144" w:rsidP="00385144">
            <w:pPr>
              <w:rPr>
                <w:rFonts w:ascii="Arial" w:eastAsia="Times New Roman" w:hAnsi="Arial" w:cs="Arial"/>
                <w:color w:val="000000"/>
                <w:sz w:val="20"/>
                <w:szCs w:val="20"/>
                <w:lang w:eastAsia="en-GB"/>
              </w:rPr>
            </w:pPr>
          </w:p>
        </w:tc>
        <w:tc>
          <w:tcPr>
            <w:tcW w:w="708" w:type="dxa"/>
            <w:tcBorders>
              <w:top w:val="nil"/>
              <w:left w:val="nil"/>
              <w:bottom w:val="nil"/>
              <w:right w:val="nil"/>
            </w:tcBorders>
            <w:shd w:val="clear" w:color="auto" w:fill="auto"/>
            <w:noWrap/>
            <w:vAlign w:val="center"/>
            <w:hideMark/>
          </w:tcPr>
          <w:p w14:paraId="0C0AA4ED" w14:textId="77777777" w:rsidR="00385144" w:rsidRPr="00DD162A" w:rsidRDefault="00385144" w:rsidP="00385144">
            <w:pPr>
              <w:jc w:val="center"/>
              <w:rPr>
                <w:rFonts w:ascii="Arial" w:eastAsia="Times New Roman" w:hAnsi="Arial" w:cs="Arial"/>
                <w:sz w:val="20"/>
                <w:szCs w:val="20"/>
                <w:lang w:eastAsia="en-GB"/>
              </w:rPr>
            </w:pPr>
          </w:p>
        </w:tc>
        <w:tc>
          <w:tcPr>
            <w:tcW w:w="1370" w:type="dxa"/>
            <w:tcBorders>
              <w:top w:val="nil"/>
              <w:left w:val="nil"/>
              <w:bottom w:val="single" w:sz="8" w:space="0" w:color="auto"/>
              <w:right w:val="nil"/>
            </w:tcBorders>
            <w:vAlign w:val="center"/>
          </w:tcPr>
          <w:p w14:paraId="0F65C1FC" w14:textId="77777777" w:rsidR="00385144" w:rsidRPr="00DD162A" w:rsidRDefault="00385144" w:rsidP="00385144">
            <w:pPr>
              <w:jc w:val="right"/>
              <w:rPr>
                <w:rFonts w:ascii="Arial" w:eastAsia="Times New Roman" w:hAnsi="Arial" w:cs="Arial"/>
                <w:color w:val="000000"/>
                <w:sz w:val="20"/>
                <w:szCs w:val="20"/>
                <w:lang w:eastAsia="en-GB"/>
              </w:rPr>
            </w:pPr>
          </w:p>
        </w:tc>
        <w:tc>
          <w:tcPr>
            <w:tcW w:w="1370" w:type="dxa"/>
            <w:tcBorders>
              <w:top w:val="nil"/>
              <w:left w:val="nil"/>
              <w:bottom w:val="single" w:sz="8" w:space="0" w:color="auto"/>
              <w:right w:val="nil"/>
            </w:tcBorders>
            <w:shd w:val="clear" w:color="auto" w:fill="auto"/>
            <w:noWrap/>
            <w:vAlign w:val="center"/>
          </w:tcPr>
          <w:p w14:paraId="4DCFA8A1" w14:textId="77777777" w:rsidR="00385144" w:rsidRPr="00DD162A" w:rsidRDefault="00385144" w:rsidP="00385144">
            <w:pPr>
              <w:jc w:val="right"/>
              <w:rPr>
                <w:rFonts w:ascii="Arial" w:eastAsia="Times New Roman" w:hAnsi="Arial" w:cs="Arial"/>
                <w:color w:val="000000"/>
                <w:sz w:val="20"/>
                <w:szCs w:val="20"/>
                <w:lang w:eastAsia="en-GB"/>
              </w:rPr>
            </w:pPr>
          </w:p>
        </w:tc>
        <w:tc>
          <w:tcPr>
            <w:tcW w:w="1371" w:type="dxa"/>
            <w:tcBorders>
              <w:top w:val="nil"/>
              <w:left w:val="nil"/>
              <w:bottom w:val="single" w:sz="8" w:space="0" w:color="auto"/>
              <w:right w:val="nil"/>
            </w:tcBorders>
            <w:vAlign w:val="center"/>
          </w:tcPr>
          <w:p w14:paraId="3284F84A" w14:textId="7B99EA8F" w:rsidR="00385144" w:rsidRPr="00337096" w:rsidRDefault="00385144" w:rsidP="00385144">
            <w:pPr>
              <w:ind w:right="-107"/>
              <w:jc w:val="right"/>
              <w:rPr>
                <w:rFonts w:ascii="Arial" w:eastAsia="Times New Roman" w:hAnsi="Arial" w:cs="Arial"/>
                <w:b/>
                <w:bCs/>
                <w:color w:val="000000"/>
                <w:sz w:val="20"/>
                <w:szCs w:val="20"/>
                <w:lang w:eastAsia="en-GB"/>
              </w:rPr>
            </w:pPr>
          </w:p>
        </w:tc>
      </w:tr>
      <w:tr w:rsidR="00385144" w:rsidRPr="00A64700" w14:paraId="1A014FFD" w14:textId="77777777" w:rsidTr="00B82B88">
        <w:trPr>
          <w:trHeight w:val="294"/>
        </w:trPr>
        <w:tc>
          <w:tcPr>
            <w:tcW w:w="4287" w:type="dxa"/>
            <w:tcBorders>
              <w:top w:val="nil"/>
              <w:left w:val="nil"/>
              <w:bottom w:val="nil"/>
              <w:right w:val="nil"/>
            </w:tcBorders>
            <w:shd w:val="clear" w:color="auto" w:fill="auto"/>
            <w:noWrap/>
            <w:vAlign w:val="center"/>
            <w:hideMark/>
          </w:tcPr>
          <w:p w14:paraId="1FC48AF1" w14:textId="10DDDB25" w:rsidR="00385144" w:rsidRPr="00A81281" w:rsidRDefault="00385144" w:rsidP="00385144">
            <w:pPr>
              <w:rPr>
                <w:rFonts w:ascii="Arial" w:eastAsia="Times New Roman" w:hAnsi="Arial" w:cs="Arial"/>
                <w:b/>
                <w:bCs/>
                <w:color w:val="000000"/>
                <w:sz w:val="20"/>
                <w:szCs w:val="20"/>
                <w:lang w:eastAsia="en-GB"/>
              </w:rPr>
            </w:pPr>
            <w:r w:rsidRPr="00DD162A">
              <w:rPr>
                <w:rFonts w:ascii="Arial" w:eastAsia="Times New Roman" w:hAnsi="Arial" w:cs="Arial"/>
                <w:b/>
                <w:bCs/>
                <w:color w:val="000000"/>
                <w:sz w:val="20"/>
                <w:szCs w:val="20"/>
                <w:lang w:eastAsia="en-GB"/>
              </w:rPr>
              <w:t>Total equity</w:t>
            </w:r>
          </w:p>
        </w:tc>
        <w:tc>
          <w:tcPr>
            <w:tcW w:w="708" w:type="dxa"/>
            <w:tcBorders>
              <w:top w:val="nil"/>
              <w:left w:val="nil"/>
              <w:bottom w:val="nil"/>
              <w:right w:val="nil"/>
            </w:tcBorders>
            <w:shd w:val="clear" w:color="auto" w:fill="auto"/>
            <w:noWrap/>
            <w:vAlign w:val="center"/>
            <w:hideMark/>
          </w:tcPr>
          <w:p w14:paraId="3F2A45D5" w14:textId="77777777" w:rsidR="00385144" w:rsidRPr="00DD162A" w:rsidRDefault="00385144" w:rsidP="00385144">
            <w:pPr>
              <w:jc w:val="center"/>
              <w:rPr>
                <w:rFonts w:ascii="Arial" w:eastAsia="Times New Roman" w:hAnsi="Arial" w:cs="Arial"/>
                <w:b/>
                <w:bCs/>
                <w:color w:val="000000"/>
                <w:sz w:val="20"/>
                <w:szCs w:val="20"/>
                <w:lang w:eastAsia="en-GB"/>
              </w:rPr>
            </w:pPr>
          </w:p>
        </w:tc>
        <w:tc>
          <w:tcPr>
            <w:tcW w:w="1370" w:type="dxa"/>
            <w:tcBorders>
              <w:top w:val="nil"/>
              <w:left w:val="nil"/>
              <w:bottom w:val="single" w:sz="8" w:space="0" w:color="auto"/>
              <w:right w:val="nil"/>
            </w:tcBorders>
            <w:vAlign w:val="center"/>
          </w:tcPr>
          <w:p w14:paraId="53C5C74E" w14:textId="59968633" w:rsidR="00385144" w:rsidRPr="00DD162A" w:rsidRDefault="004237C1" w:rsidP="00385144">
            <w:pPr>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200,535.4</w:t>
            </w:r>
          </w:p>
        </w:tc>
        <w:tc>
          <w:tcPr>
            <w:tcW w:w="1370" w:type="dxa"/>
            <w:tcBorders>
              <w:top w:val="nil"/>
              <w:left w:val="nil"/>
              <w:bottom w:val="single" w:sz="8" w:space="0" w:color="auto"/>
              <w:right w:val="nil"/>
            </w:tcBorders>
            <w:shd w:val="clear" w:color="auto" w:fill="auto"/>
            <w:vAlign w:val="center"/>
          </w:tcPr>
          <w:p w14:paraId="657BEDC0" w14:textId="481C21C0" w:rsidR="00385144" w:rsidRPr="00DD162A" w:rsidRDefault="00385144" w:rsidP="00385144">
            <w:pPr>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148,863.8</w:t>
            </w:r>
          </w:p>
        </w:tc>
        <w:tc>
          <w:tcPr>
            <w:tcW w:w="1371" w:type="dxa"/>
            <w:tcBorders>
              <w:top w:val="nil"/>
              <w:left w:val="nil"/>
              <w:bottom w:val="single" w:sz="8" w:space="0" w:color="auto"/>
              <w:right w:val="nil"/>
            </w:tcBorders>
            <w:vAlign w:val="center"/>
          </w:tcPr>
          <w:p w14:paraId="5E5CC699" w14:textId="4B506F35" w:rsidR="00385144" w:rsidRPr="00A64700" w:rsidRDefault="00385144" w:rsidP="00385144">
            <w:pPr>
              <w:ind w:right="-107"/>
              <w:jc w:val="right"/>
              <w:rPr>
                <w:rFonts w:ascii="Arial" w:eastAsia="Times New Roman" w:hAnsi="Arial" w:cs="Arial"/>
                <w:b/>
                <w:color w:val="000000"/>
                <w:sz w:val="20"/>
                <w:szCs w:val="20"/>
                <w:lang w:eastAsia="en-GB"/>
              </w:rPr>
            </w:pPr>
            <w:r w:rsidRPr="00A64700">
              <w:rPr>
                <w:rFonts w:ascii="Arial" w:eastAsia="Times New Roman" w:hAnsi="Arial" w:cs="Arial"/>
                <w:b/>
                <w:color w:val="000000"/>
                <w:sz w:val="20"/>
                <w:szCs w:val="20"/>
                <w:lang w:eastAsia="en-GB"/>
              </w:rPr>
              <w:t>183,165.5</w:t>
            </w:r>
          </w:p>
        </w:tc>
      </w:tr>
    </w:tbl>
    <w:p w14:paraId="209E9222" w14:textId="77777777" w:rsidR="00740A73" w:rsidRDefault="00740A73" w:rsidP="00153A3A">
      <w:pPr>
        <w:spacing w:line="259" w:lineRule="auto"/>
        <w:rPr>
          <w:rFonts w:ascii="Arial" w:hAnsi="Arial" w:cs="Arial"/>
          <w:b/>
          <w:sz w:val="20"/>
          <w:szCs w:val="20"/>
        </w:rPr>
      </w:pPr>
    </w:p>
    <w:p w14:paraId="18695EA0" w14:textId="4AB7D603" w:rsidR="00153A3A" w:rsidRDefault="0015438F" w:rsidP="00153A3A">
      <w:pPr>
        <w:spacing w:line="259" w:lineRule="auto"/>
        <w:rPr>
          <w:rFonts w:ascii="Arial" w:hAnsi="Arial" w:cs="Arial"/>
          <w:b/>
          <w:sz w:val="20"/>
          <w:szCs w:val="20"/>
        </w:rPr>
      </w:pPr>
      <w:r>
        <w:rPr>
          <w:rFonts w:ascii="Arial" w:hAnsi="Arial" w:cs="Arial"/>
          <w:b/>
          <w:sz w:val="20"/>
          <w:szCs w:val="20"/>
        </w:rPr>
        <w:t>C</w:t>
      </w:r>
      <w:r w:rsidR="000F7919" w:rsidRPr="00DD162A">
        <w:rPr>
          <w:rFonts w:ascii="Arial" w:hAnsi="Arial" w:cs="Arial"/>
          <w:b/>
          <w:sz w:val="20"/>
          <w:szCs w:val="20"/>
        </w:rPr>
        <w:t>onsolidated statement of cash flows</w:t>
      </w:r>
    </w:p>
    <w:p w14:paraId="03753B6B" w14:textId="4224CA15" w:rsidR="000F7919" w:rsidRPr="00DD162A" w:rsidRDefault="000F7919" w:rsidP="00153A3A">
      <w:pPr>
        <w:spacing w:line="259" w:lineRule="auto"/>
        <w:rPr>
          <w:rFonts w:ascii="Arial" w:hAnsi="Arial" w:cs="Arial"/>
          <w:b/>
          <w:sz w:val="20"/>
          <w:szCs w:val="20"/>
        </w:rPr>
      </w:pPr>
      <w:r w:rsidRPr="00DD162A">
        <w:rPr>
          <w:rFonts w:ascii="Arial" w:hAnsi="Arial" w:cs="Arial"/>
          <w:b/>
          <w:sz w:val="20"/>
          <w:szCs w:val="20"/>
        </w:rPr>
        <w:t>For the six months ended 30 June 201</w:t>
      </w:r>
      <w:r w:rsidR="00641C89">
        <w:rPr>
          <w:rFonts w:ascii="Arial" w:hAnsi="Arial" w:cs="Arial"/>
          <w:b/>
          <w:sz w:val="20"/>
          <w:szCs w:val="20"/>
        </w:rPr>
        <w:t>9</w:t>
      </w:r>
    </w:p>
    <w:tbl>
      <w:tblPr>
        <w:tblW w:w="9706" w:type="dxa"/>
        <w:tblLook w:val="04A0" w:firstRow="1" w:lastRow="0" w:firstColumn="1" w:lastColumn="0" w:noHBand="0" w:noVBand="1"/>
      </w:tblPr>
      <w:tblGrid>
        <w:gridCol w:w="4926"/>
        <w:gridCol w:w="1593"/>
        <w:gridCol w:w="1593"/>
        <w:gridCol w:w="1594"/>
      </w:tblGrid>
      <w:tr w:rsidR="000F7919" w:rsidRPr="00DD162A" w14:paraId="2C8A2F63" w14:textId="77777777" w:rsidTr="00153A3A">
        <w:trPr>
          <w:trHeight w:val="281"/>
        </w:trPr>
        <w:tc>
          <w:tcPr>
            <w:tcW w:w="4926" w:type="dxa"/>
            <w:vMerge w:val="restart"/>
            <w:tcBorders>
              <w:top w:val="nil"/>
              <w:left w:val="nil"/>
              <w:bottom w:val="nil"/>
              <w:right w:val="nil"/>
            </w:tcBorders>
            <w:shd w:val="clear" w:color="auto" w:fill="auto"/>
            <w:noWrap/>
            <w:vAlign w:val="center"/>
            <w:hideMark/>
          </w:tcPr>
          <w:p w14:paraId="43752B0C" w14:textId="77777777" w:rsidR="000F7919" w:rsidRPr="00DD162A" w:rsidRDefault="000F7919" w:rsidP="000F7919">
            <w:pPr>
              <w:rPr>
                <w:rFonts w:ascii="Arial" w:eastAsia="Times New Roman" w:hAnsi="Arial" w:cs="Arial"/>
                <w:sz w:val="20"/>
                <w:szCs w:val="20"/>
                <w:lang w:eastAsia="en-GB"/>
              </w:rPr>
            </w:pPr>
          </w:p>
        </w:tc>
        <w:tc>
          <w:tcPr>
            <w:tcW w:w="1593" w:type="dxa"/>
            <w:tcBorders>
              <w:top w:val="nil"/>
              <w:left w:val="nil"/>
              <w:bottom w:val="nil"/>
              <w:right w:val="nil"/>
            </w:tcBorders>
            <w:shd w:val="clear" w:color="auto" w:fill="auto"/>
            <w:noWrap/>
            <w:vAlign w:val="center"/>
            <w:hideMark/>
          </w:tcPr>
          <w:p w14:paraId="19A60151" w14:textId="6EB2A44A" w:rsidR="0015438F" w:rsidRDefault="0015438F" w:rsidP="000F7919">
            <w:pPr>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Unaudited</w:t>
            </w:r>
          </w:p>
          <w:p w14:paraId="01014786" w14:textId="4E59622A" w:rsidR="000F7919" w:rsidRPr="00DD162A" w:rsidRDefault="00150D5C" w:rsidP="000F7919">
            <w:pPr>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xml:space="preserve">Six months </w:t>
            </w:r>
            <w:r w:rsidR="000F7919" w:rsidRPr="00DD162A">
              <w:rPr>
                <w:rFonts w:ascii="Arial" w:eastAsia="Times New Roman" w:hAnsi="Arial" w:cs="Arial"/>
                <w:b/>
                <w:bCs/>
                <w:color w:val="000000"/>
                <w:sz w:val="20"/>
                <w:szCs w:val="20"/>
                <w:lang w:eastAsia="en-GB"/>
              </w:rPr>
              <w:t>ended</w:t>
            </w:r>
          </w:p>
        </w:tc>
        <w:tc>
          <w:tcPr>
            <w:tcW w:w="1593" w:type="dxa"/>
            <w:tcBorders>
              <w:top w:val="nil"/>
              <w:left w:val="nil"/>
              <w:bottom w:val="nil"/>
              <w:right w:val="nil"/>
            </w:tcBorders>
            <w:vAlign w:val="center"/>
          </w:tcPr>
          <w:p w14:paraId="2DB9D1F3" w14:textId="6D332053" w:rsidR="0015438F" w:rsidRDefault="0015438F" w:rsidP="000F7919">
            <w:pPr>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Unaudited</w:t>
            </w:r>
          </w:p>
          <w:p w14:paraId="2921A331" w14:textId="5617C89D" w:rsidR="000F7919" w:rsidRPr="00DD162A" w:rsidRDefault="00150D5C" w:rsidP="000F7919">
            <w:pPr>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xml:space="preserve">Six months </w:t>
            </w:r>
            <w:r w:rsidR="000F7919" w:rsidRPr="00DD162A">
              <w:rPr>
                <w:rFonts w:ascii="Arial" w:eastAsia="Times New Roman" w:hAnsi="Arial" w:cs="Arial"/>
                <w:b/>
                <w:bCs/>
                <w:color w:val="000000"/>
                <w:sz w:val="20"/>
                <w:szCs w:val="20"/>
                <w:lang w:eastAsia="en-GB"/>
              </w:rPr>
              <w:t>ended</w:t>
            </w:r>
          </w:p>
        </w:tc>
        <w:tc>
          <w:tcPr>
            <w:tcW w:w="1594" w:type="dxa"/>
            <w:tcBorders>
              <w:top w:val="nil"/>
              <w:left w:val="nil"/>
              <w:bottom w:val="nil"/>
              <w:right w:val="nil"/>
            </w:tcBorders>
            <w:vAlign w:val="center"/>
          </w:tcPr>
          <w:p w14:paraId="18993FCC" w14:textId="2C028D8B" w:rsidR="0015438F" w:rsidRDefault="0015438F" w:rsidP="000F7919">
            <w:pPr>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Audited</w:t>
            </w:r>
          </w:p>
          <w:p w14:paraId="0A7E5B88" w14:textId="072B0631" w:rsidR="000F7919" w:rsidRPr="00DD162A" w:rsidRDefault="000F7919" w:rsidP="000F7919">
            <w:pPr>
              <w:jc w:val="right"/>
              <w:rPr>
                <w:rFonts w:ascii="Arial" w:eastAsia="Times New Roman" w:hAnsi="Arial" w:cs="Arial"/>
                <w:b/>
                <w:bCs/>
                <w:color w:val="000000"/>
                <w:sz w:val="20"/>
                <w:szCs w:val="20"/>
                <w:lang w:eastAsia="en-GB"/>
              </w:rPr>
            </w:pPr>
            <w:r w:rsidRPr="00DD162A">
              <w:rPr>
                <w:rFonts w:ascii="Arial" w:eastAsia="Times New Roman" w:hAnsi="Arial" w:cs="Arial"/>
                <w:b/>
                <w:bCs/>
                <w:color w:val="000000"/>
                <w:sz w:val="20"/>
                <w:szCs w:val="20"/>
                <w:lang w:eastAsia="en-GB"/>
              </w:rPr>
              <w:t>Year ended</w:t>
            </w:r>
          </w:p>
        </w:tc>
      </w:tr>
      <w:tr w:rsidR="000F7919" w:rsidRPr="00DD162A" w14:paraId="71A97850" w14:textId="77777777" w:rsidTr="00153A3A">
        <w:trPr>
          <w:trHeight w:val="281"/>
        </w:trPr>
        <w:tc>
          <w:tcPr>
            <w:tcW w:w="4926" w:type="dxa"/>
            <w:vMerge/>
            <w:tcBorders>
              <w:top w:val="nil"/>
              <w:left w:val="nil"/>
              <w:bottom w:val="nil"/>
              <w:right w:val="nil"/>
            </w:tcBorders>
            <w:vAlign w:val="center"/>
            <w:hideMark/>
          </w:tcPr>
          <w:p w14:paraId="4C48A2EC" w14:textId="77777777" w:rsidR="000F7919" w:rsidRPr="00DD162A" w:rsidRDefault="000F7919" w:rsidP="000F7919">
            <w:pPr>
              <w:rPr>
                <w:rFonts w:ascii="Arial" w:eastAsia="Times New Roman" w:hAnsi="Arial" w:cs="Arial"/>
                <w:sz w:val="20"/>
                <w:szCs w:val="20"/>
                <w:lang w:eastAsia="en-GB"/>
              </w:rPr>
            </w:pPr>
          </w:p>
        </w:tc>
        <w:tc>
          <w:tcPr>
            <w:tcW w:w="1593" w:type="dxa"/>
            <w:tcBorders>
              <w:top w:val="nil"/>
              <w:left w:val="nil"/>
              <w:bottom w:val="nil"/>
              <w:right w:val="nil"/>
            </w:tcBorders>
            <w:shd w:val="clear" w:color="auto" w:fill="auto"/>
            <w:vAlign w:val="center"/>
            <w:hideMark/>
          </w:tcPr>
          <w:p w14:paraId="199F118A" w14:textId="77777777" w:rsidR="000F7919" w:rsidRPr="00DD162A" w:rsidRDefault="000F7919" w:rsidP="000F7919">
            <w:pPr>
              <w:jc w:val="right"/>
              <w:rPr>
                <w:rFonts w:ascii="Arial" w:eastAsia="Times New Roman" w:hAnsi="Arial" w:cs="Arial"/>
                <w:b/>
                <w:bCs/>
                <w:color w:val="000000"/>
                <w:sz w:val="20"/>
                <w:szCs w:val="20"/>
                <w:lang w:eastAsia="en-GB"/>
              </w:rPr>
            </w:pPr>
            <w:r w:rsidRPr="00DD162A">
              <w:rPr>
                <w:rFonts w:ascii="Arial" w:eastAsia="Times New Roman" w:hAnsi="Arial" w:cs="Arial"/>
                <w:b/>
                <w:bCs/>
                <w:color w:val="000000"/>
                <w:sz w:val="20"/>
                <w:szCs w:val="20"/>
                <w:lang w:eastAsia="en-GB"/>
              </w:rPr>
              <w:t>30 June</w:t>
            </w:r>
          </w:p>
        </w:tc>
        <w:tc>
          <w:tcPr>
            <w:tcW w:w="1593" w:type="dxa"/>
            <w:tcBorders>
              <w:top w:val="nil"/>
              <w:left w:val="nil"/>
              <w:bottom w:val="nil"/>
              <w:right w:val="nil"/>
            </w:tcBorders>
            <w:vAlign w:val="center"/>
          </w:tcPr>
          <w:p w14:paraId="0670962E" w14:textId="77777777" w:rsidR="000F7919" w:rsidRPr="00DD162A" w:rsidRDefault="000F7919" w:rsidP="000F7919">
            <w:pPr>
              <w:jc w:val="right"/>
              <w:rPr>
                <w:rFonts w:ascii="Arial" w:eastAsia="Times New Roman" w:hAnsi="Arial" w:cs="Arial"/>
                <w:b/>
                <w:bCs/>
                <w:color w:val="000000"/>
                <w:sz w:val="20"/>
                <w:szCs w:val="20"/>
                <w:lang w:eastAsia="en-GB"/>
              </w:rPr>
            </w:pPr>
            <w:r w:rsidRPr="00DD162A">
              <w:rPr>
                <w:rFonts w:ascii="Arial" w:eastAsia="Times New Roman" w:hAnsi="Arial" w:cs="Arial"/>
                <w:b/>
                <w:bCs/>
                <w:color w:val="000000"/>
                <w:sz w:val="20"/>
                <w:szCs w:val="20"/>
                <w:lang w:eastAsia="en-GB"/>
              </w:rPr>
              <w:t>30 June</w:t>
            </w:r>
          </w:p>
        </w:tc>
        <w:tc>
          <w:tcPr>
            <w:tcW w:w="1594" w:type="dxa"/>
            <w:tcBorders>
              <w:top w:val="nil"/>
              <w:left w:val="nil"/>
              <w:bottom w:val="nil"/>
              <w:right w:val="nil"/>
            </w:tcBorders>
            <w:vAlign w:val="center"/>
          </w:tcPr>
          <w:p w14:paraId="283E1B49" w14:textId="77777777" w:rsidR="000F7919" w:rsidRPr="00DD162A" w:rsidRDefault="000F7919" w:rsidP="000F7919">
            <w:pPr>
              <w:jc w:val="right"/>
              <w:rPr>
                <w:rFonts w:ascii="Arial" w:eastAsia="Times New Roman" w:hAnsi="Arial" w:cs="Arial"/>
                <w:b/>
                <w:bCs/>
                <w:color w:val="000000"/>
                <w:sz w:val="20"/>
                <w:szCs w:val="20"/>
                <w:lang w:eastAsia="en-GB"/>
              </w:rPr>
            </w:pPr>
            <w:r w:rsidRPr="00DD162A">
              <w:rPr>
                <w:rFonts w:ascii="Arial" w:eastAsia="Times New Roman" w:hAnsi="Arial" w:cs="Arial"/>
                <w:b/>
                <w:bCs/>
                <w:color w:val="000000"/>
                <w:sz w:val="20"/>
                <w:szCs w:val="20"/>
                <w:lang w:eastAsia="en-GB"/>
              </w:rPr>
              <w:t>31 December</w:t>
            </w:r>
          </w:p>
        </w:tc>
      </w:tr>
      <w:tr w:rsidR="000F7919" w:rsidRPr="00DD162A" w14:paraId="07A98DA5" w14:textId="77777777" w:rsidTr="00153A3A">
        <w:trPr>
          <w:trHeight w:val="281"/>
        </w:trPr>
        <w:tc>
          <w:tcPr>
            <w:tcW w:w="4926" w:type="dxa"/>
            <w:tcBorders>
              <w:top w:val="nil"/>
              <w:left w:val="nil"/>
              <w:bottom w:val="nil"/>
              <w:right w:val="nil"/>
            </w:tcBorders>
            <w:shd w:val="clear" w:color="auto" w:fill="auto"/>
            <w:noWrap/>
            <w:vAlign w:val="center"/>
            <w:hideMark/>
          </w:tcPr>
          <w:p w14:paraId="0D798921" w14:textId="77777777" w:rsidR="000F7919" w:rsidRPr="00DD162A" w:rsidRDefault="000F7919" w:rsidP="000F7919">
            <w:pPr>
              <w:rPr>
                <w:rFonts w:ascii="Arial" w:eastAsia="Times New Roman" w:hAnsi="Arial" w:cs="Arial"/>
                <w:b/>
                <w:bCs/>
                <w:color w:val="000000"/>
                <w:sz w:val="20"/>
                <w:szCs w:val="20"/>
                <w:lang w:eastAsia="en-GB"/>
              </w:rPr>
            </w:pPr>
          </w:p>
        </w:tc>
        <w:tc>
          <w:tcPr>
            <w:tcW w:w="1593" w:type="dxa"/>
            <w:tcBorders>
              <w:top w:val="nil"/>
              <w:left w:val="nil"/>
              <w:bottom w:val="nil"/>
              <w:right w:val="nil"/>
            </w:tcBorders>
            <w:shd w:val="clear" w:color="auto" w:fill="auto"/>
            <w:noWrap/>
            <w:vAlign w:val="center"/>
            <w:hideMark/>
          </w:tcPr>
          <w:p w14:paraId="0A8E7867" w14:textId="26CF772A" w:rsidR="000F7919" w:rsidRPr="00DD162A" w:rsidRDefault="000F7919" w:rsidP="000F7919">
            <w:pPr>
              <w:jc w:val="right"/>
              <w:rPr>
                <w:rFonts w:ascii="Arial" w:eastAsia="Times New Roman" w:hAnsi="Arial" w:cs="Arial"/>
                <w:b/>
                <w:bCs/>
                <w:color w:val="000000"/>
                <w:sz w:val="20"/>
                <w:szCs w:val="20"/>
                <w:lang w:eastAsia="en-GB"/>
              </w:rPr>
            </w:pPr>
            <w:r w:rsidRPr="00DD162A">
              <w:rPr>
                <w:rFonts w:ascii="Arial" w:eastAsia="Times New Roman" w:hAnsi="Arial" w:cs="Arial"/>
                <w:b/>
                <w:bCs/>
                <w:color w:val="000000"/>
                <w:sz w:val="20"/>
                <w:szCs w:val="20"/>
                <w:lang w:eastAsia="en-GB"/>
              </w:rPr>
              <w:t>201</w:t>
            </w:r>
            <w:r w:rsidR="00641C89">
              <w:rPr>
                <w:rFonts w:ascii="Arial" w:eastAsia="Times New Roman" w:hAnsi="Arial" w:cs="Arial"/>
                <w:b/>
                <w:bCs/>
                <w:color w:val="000000"/>
                <w:sz w:val="20"/>
                <w:szCs w:val="20"/>
                <w:lang w:eastAsia="en-GB"/>
              </w:rPr>
              <w:t>9</w:t>
            </w:r>
          </w:p>
        </w:tc>
        <w:tc>
          <w:tcPr>
            <w:tcW w:w="1593" w:type="dxa"/>
            <w:tcBorders>
              <w:top w:val="nil"/>
              <w:left w:val="nil"/>
              <w:bottom w:val="nil"/>
              <w:right w:val="nil"/>
            </w:tcBorders>
            <w:vAlign w:val="center"/>
          </w:tcPr>
          <w:p w14:paraId="16ADD0DA" w14:textId="31E4178E" w:rsidR="000F7919" w:rsidRPr="00DD162A" w:rsidRDefault="000F7919" w:rsidP="000F7919">
            <w:pPr>
              <w:jc w:val="right"/>
              <w:rPr>
                <w:rFonts w:ascii="Arial" w:eastAsia="Times New Roman" w:hAnsi="Arial" w:cs="Arial"/>
                <w:b/>
                <w:bCs/>
                <w:color w:val="000000"/>
                <w:sz w:val="20"/>
                <w:szCs w:val="20"/>
                <w:lang w:eastAsia="en-GB"/>
              </w:rPr>
            </w:pPr>
            <w:r w:rsidRPr="00DD162A">
              <w:rPr>
                <w:rFonts w:ascii="Arial" w:eastAsia="Times New Roman" w:hAnsi="Arial" w:cs="Arial"/>
                <w:b/>
                <w:bCs/>
                <w:color w:val="000000"/>
                <w:sz w:val="20"/>
                <w:szCs w:val="20"/>
                <w:lang w:eastAsia="en-GB"/>
              </w:rPr>
              <w:t>201</w:t>
            </w:r>
            <w:r w:rsidR="00641C89">
              <w:rPr>
                <w:rFonts w:ascii="Arial" w:eastAsia="Times New Roman" w:hAnsi="Arial" w:cs="Arial"/>
                <w:b/>
                <w:bCs/>
                <w:color w:val="000000"/>
                <w:sz w:val="20"/>
                <w:szCs w:val="20"/>
                <w:lang w:eastAsia="en-GB"/>
              </w:rPr>
              <w:t>8</w:t>
            </w:r>
          </w:p>
        </w:tc>
        <w:tc>
          <w:tcPr>
            <w:tcW w:w="1594" w:type="dxa"/>
            <w:tcBorders>
              <w:top w:val="nil"/>
              <w:left w:val="nil"/>
              <w:bottom w:val="nil"/>
              <w:right w:val="nil"/>
            </w:tcBorders>
            <w:vAlign w:val="center"/>
          </w:tcPr>
          <w:p w14:paraId="2531EEF9" w14:textId="3CF6B5A5" w:rsidR="000F7919" w:rsidRPr="00DD162A" w:rsidRDefault="000F7919" w:rsidP="000F7919">
            <w:pPr>
              <w:jc w:val="right"/>
              <w:rPr>
                <w:rFonts w:ascii="Arial" w:eastAsia="Times New Roman" w:hAnsi="Arial" w:cs="Arial"/>
                <w:b/>
                <w:bCs/>
                <w:color w:val="000000"/>
                <w:sz w:val="20"/>
                <w:szCs w:val="20"/>
                <w:lang w:eastAsia="en-GB"/>
              </w:rPr>
            </w:pPr>
            <w:r w:rsidRPr="00DD162A">
              <w:rPr>
                <w:rFonts w:ascii="Arial" w:eastAsia="Times New Roman" w:hAnsi="Arial" w:cs="Arial"/>
                <w:b/>
                <w:bCs/>
                <w:color w:val="000000"/>
                <w:sz w:val="20"/>
                <w:szCs w:val="20"/>
                <w:lang w:eastAsia="en-GB"/>
              </w:rPr>
              <w:t>201</w:t>
            </w:r>
            <w:r w:rsidR="00641C89">
              <w:rPr>
                <w:rFonts w:ascii="Arial" w:eastAsia="Times New Roman" w:hAnsi="Arial" w:cs="Arial"/>
                <w:b/>
                <w:bCs/>
                <w:color w:val="000000"/>
                <w:sz w:val="20"/>
                <w:szCs w:val="20"/>
                <w:lang w:eastAsia="en-GB"/>
              </w:rPr>
              <w:t>8</w:t>
            </w:r>
          </w:p>
        </w:tc>
      </w:tr>
      <w:tr w:rsidR="000F7919" w:rsidRPr="00DD162A" w14:paraId="5B4E17CF" w14:textId="77777777" w:rsidTr="00153A3A">
        <w:trPr>
          <w:trHeight w:val="281"/>
        </w:trPr>
        <w:tc>
          <w:tcPr>
            <w:tcW w:w="4926" w:type="dxa"/>
            <w:tcBorders>
              <w:top w:val="nil"/>
              <w:left w:val="nil"/>
              <w:bottom w:val="nil"/>
              <w:right w:val="nil"/>
            </w:tcBorders>
            <w:shd w:val="clear" w:color="auto" w:fill="auto"/>
            <w:noWrap/>
            <w:vAlign w:val="center"/>
            <w:hideMark/>
          </w:tcPr>
          <w:p w14:paraId="0EAB957D" w14:textId="77777777" w:rsidR="000F7919" w:rsidRPr="00DD162A" w:rsidRDefault="000F7919" w:rsidP="000F7919">
            <w:pPr>
              <w:rPr>
                <w:rFonts w:ascii="Arial" w:eastAsia="Times New Roman" w:hAnsi="Arial" w:cs="Arial"/>
                <w:b/>
                <w:bCs/>
                <w:color w:val="000000"/>
                <w:sz w:val="20"/>
                <w:szCs w:val="20"/>
                <w:lang w:eastAsia="en-GB"/>
              </w:rPr>
            </w:pPr>
          </w:p>
        </w:tc>
        <w:tc>
          <w:tcPr>
            <w:tcW w:w="1593" w:type="dxa"/>
            <w:tcBorders>
              <w:top w:val="nil"/>
              <w:left w:val="nil"/>
              <w:bottom w:val="nil"/>
              <w:right w:val="nil"/>
            </w:tcBorders>
            <w:shd w:val="clear" w:color="auto" w:fill="auto"/>
            <w:noWrap/>
            <w:vAlign w:val="center"/>
            <w:hideMark/>
          </w:tcPr>
          <w:p w14:paraId="679285C5" w14:textId="77777777" w:rsidR="000F7919" w:rsidRPr="00BC051F" w:rsidRDefault="000F7919" w:rsidP="000F7919">
            <w:pPr>
              <w:jc w:val="right"/>
              <w:rPr>
                <w:rFonts w:ascii="Arial" w:eastAsia="Times New Roman" w:hAnsi="Arial" w:cs="Arial"/>
                <w:bCs/>
                <w:color w:val="000000"/>
                <w:sz w:val="20"/>
                <w:szCs w:val="20"/>
                <w:lang w:eastAsia="en-GB"/>
              </w:rPr>
            </w:pPr>
            <w:r w:rsidRPr="00BC051F">
              <w:rPr>
                <w:rFonts w:ascii="Arial" w:eastAsia="Times New Roman" w:hAnsi="Arial" w:cs="Arial"/>
                <w:bCs/>
                <w:color w:val="000000"/>
                <w:sz w:val="20"/>
                <w:szCs w:val="20"/>
                <w:lang w:eastAsia="en-GB"/>
              </w:rPr>
              <w:t>£’000</w:t>
            </w:r>
          </w:p>
        </w:tc>
        <w:tc>
          <w:tcPr>
            <w:tcW w:w="1593" w:type="dxa"/>
            <w:tcBorders>
              <w:top w:val="nil"/>
              <w:left w:val="nil"/>
              <w:bottom w:val="nil"/>
              <w:right w:val="nil"/>
            </w:tcBorders>
            <w:vAlign w:val="center"/>
          </w:tcPr>
          <w:p w14:paraId="7B22BA98" w14:textId="77777777" w:rsidR="000F7919" w:rsidRPr="00BC051F" w:rsidRDefault="000F7919" w:rsidP="000F7919">
            <w:pPr>
              <w:jc w:val="right"/>
              <w:rPr>
                <w:rFonts w:ascii="Arial" w:eastAsia="Times New Roman" w:hAnsi="Arial" w:cs="Arial"/>
                <w:color w:val="000000"/>
                <w:sz w:val="20"/>
                <w:szCs w:val="20"/>
                <w:lang w:eastAsia="en-GB"/>
              </w:rPr>
            </w:pPr>
            <w:r w:rsidRPr="00BC051F">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’000</w:t>
            </w:r>
          </w:p>
        </w:tc>
        <w:tc>
          <w:tcPr>
            <w:tcW w:w="1594" w:type="dxa"/>
            <w:tcBorders>
              <w:top w:val="nil"/>
              <w:left w:val="nil"/>
              <w:bottom w:val="nil"/>
              <w:right w:val="nil"/>
            </w:tcBorders>
            <w:vAlign w:val="center"/>
          </w:tcPr>
          <w:p w14:paraId="7E5D45DC" w14:textId="77777777" w:rsidR="000F7919" w:rsidRPr="00BC051F" w:rsidRDefault="000F7919" w:rsidP="000F7919">
            <w:pPr>
              <w:jc w:val="right"/>
              <w:rPr>
                <w:rFonts w:ascii="Arial" w:eastAsia="Times New Roman" w:hAnsi="Arial" w:cs="Arial"/>
                <w:bCs/>
                <w:color w:val="000000"/>
                <w:sz w:val="20"/>
                <w:szCs w:val="20"/>
                <w:lang w:eastAsia="en-GB"/>
              </w:rPr>
            </w:pPr>
            <w:r w:rsidRPr="00BC051F">
              <w:rPr>
                <w:rFonts w:ascii="Arial" w:eastAsia="Times New Roman" w:hAnsi="Arial" w:cs="Arial"/>
                <w:bCs/>
                <w:color w:val="000000"/>
                <w:sz w:val="20"/>
                <w:szCs w:val="20"/>
                <w:lang w:eastAsia="en-GB"/>
              </w:rPr>
              <w:t>£</w:t>
            </w:r>
            <w:r>
              <w:rPr>
                <w:rFonts w:ascii="Arial" w:eastAsia="Times New Roman" w:hAnsi="Arial" w:cs="Arial"/>
                <w:bCs/>
                <w:color w:val="000000"/>
                <w:sz w:val="20"/>
                <w:szCs w:val="20"/>
                <w:lang w:eastAsia="en-GB"/>
              </w:rPr>
              <w:t>’000</w:t>
            </w:r>
          </w:p>
        </w:tc>
      </w:tr>
      <w:tr w:rsidR="000F7919" w:rsidRPr="00DD162A" w14:paraId="7BFCD887" w14:textId="77777777" w:rsidTr="00153A3A">
        <w:trPr>
          <w:trHeight w:val="281"/>
        </w:trPr>
        <w:tc>
          <w:tcPr>
            <w:tcW w:w="4926" w:type="dxa"/>
            <w:tcBorders>
              <w:top w:val="nil"/>
              <w:left w:val="nil"/>
              <w:bottom w:val="nil"/>
              <w:right w:val="nil"/>
            </w:tcBorders>
            <w:shd w:val="clear" w:color="auto" w:fill="auto"/>
            <w:noWrap/>
            <w:vAlign w:val="center"/>
            <w:hideMark/>
          </w:tcPr>
          <w:p w14:paraId="5DF44906" w14:textId="77777777" w:rsidR="000F7919" w:rsidRPr="00DD162A" w:rsidRDefault="000F7919" w:rsidP="000F7919">
            <w:pPr>
              <w:rPr>
                <w:rFonts w:ascii="Arial" w:eastAsia="Times New Roman" w:hAnsi="Arial" w:cs="Arial"/>
                <w:b/>
                <w:bCs/>
                <w:color w:val="000000"/>
                <w:sz w:val="20"/>
                <w:szCs w:val="20"/>
                <w:lang w:eastAsia="en-GB"/>
              </w:rPr>
            </w:pPr>
            <w:r w:rsidRPr="00DD162A">
              <w:rPr>
                <w:rFonts w:ascii="Arial" w:eastAsia="Times New Roman" w:hAnsi="Arial" w:cs="Arial"/>
                <w:b/>
                <w:bCs/>
                <w:color w:val="000000"/>
                <w:sz w:val="20"/>
                <w:szCs w:val="20"/>
                <w:lang w:eastAsia="en-GB"/>
              </w:rPr>
              <w:t>Operating activities</w:t>
            </w:r>
          </w:p>
        </w:tc>
        <w:tc>
          <w:tcPr>
            <w:tcW w:w="1593" w:type="dxa"/>
            <w:tcBorders>
              <w:top w:val="nil"/>
              <w:left w:val="nil"/>
              <w:bottom w:val="nil"/>
              <w:right w:val="nil"/>
            </w:tcBorders>
            <w:shd w:val="clear" w:color="auto" w:fill="auto"/>
            <w:noWrap/>
            <w:vAlign w:val="center"/>
          </w:tcPr>
          <w:p w14:paraId="7FA24970" w14:textId="77777777" w:rsidR="000F7919" w:rsidRPr="00DD162A" w:rsidRDefault="000F7919" w:rsidP="000F7919">
            <w:pPr>
              <w:jc w:val="right"/>
              <w:rPr>
                <w:rFonts w:ascii="Arial" w:eastAsia="Times New Roman" w:hAnsi="Arial" w:cs="Arial"/>
                <w:b/>
                <w:bCs/>
                <w:color w:val="000000"/>
                <w:sz w:val="20"/>
                <w:szCs w:val="20"/>
                <w:lang w:eastAsia="en-GB"/>
              </w:rPr>
            </w:pPr>
          </w:p>
        </w:tc>
        <w:tc>
          <w:tcPr>
            <w:tcW w:w="1593" w:type="dxa"/>
            <w:tcBorders>
              <w:top w:val="nil"/>
              <w:left w:val="nil"/>
              <w:bottom w:val="nil"/>
              <w:right w:val="nil"/>
            </w:tcBorders>
            <w:vAlign w:val="center"/>
          </w:tcPr>
          <w:p w14:paraId="0FE83ADC" w14:textId="77777777" w:rsidR="000F7919" w:rsidRPr="00DD162A" w:rsidRDefault="000F7919" w:rsidP="000F7919">
            <w:pPr>
              <w:jc w:val="right"/>
              <w:rPr>
                <w:rFonts w:ascii="Arial" w:eastAsia="Times New Roman" w:hAnsi="Arial" w:cs="Arial"/>
                <w:b/>
                <w:bCs/>
                <w:color w:val="000000"/>
                <w:sz w:val="20"/>
                <w:szCs w:val="20"/>
                <w:lang w:eastAsia="en-GB"/>
              </w:rPr>
            </w:pPr>
          </w:p>
        </w:tc>
        <w:tc>
          <w:tcPr>
            <w:tcW w:w="1594" w:type="dxa"/>
            <w:tcBorders>
              <w:top w:val="nil"/>
              <w:left w:val="nil"/>
              <w:bottom w:val="nil"/>
              <w:right w:val="nil"/>
            </w:tcBorders>
            <w:vAlign w:val="center"/>
          </w:tcPr>
          <w:p w14:paraId="5B26D66C" w14:textId="77777777" w:rsidR="000F7919" w:rsidRPr="00DD162A" w:rsidRDefault="000F7919" w:rsidP="000F7919">
            <w:pPr>
              <w:jc w:val="right"/>
              <w:rPr>
                <w:rFonts w:ascii="Arial" w:eastAsia="Times New Roman" w:hAnsi="Arial" w:cs="Arial"/>
                <w:b/>
                <w:bCs/>
                <w:color w:val="000000"/>
                <w:sz w:val="20"/>
                <w:szCs w:val="20"/>
                <w:lang w:eastAsia="en-GB"/>
              </w:rPr>
            </w:pPr>
          </w:p>
        </w:tc>
      </w:tr>
      <w:tr w:rsidR="009F3BC6" w:rsidRPr="00DD162A" w14:paraId="52DB6AFF" w14:textId="77777777" w:rsidTr="00153A3A">
        <w:trPr>
          <w:trHeight w:val="281"/>
        </w:trPr>
        <w:tc>
          <w:tcPr>
            <w:tcW w:w="4926" w:type="dxa"/>
            <w:tcBorders>
              <w:top w:val="nil"/>
              <w:left w:val="nil"/>
              <w:bottom w:val="nil"/>
              <w:right w:val="nil"/>
            </w:tcBorders>
            <w:shd w:val="clear" w:color="auto" w:fill="auto"/>
            <w:noWrap/>
            <w:vAlign w:val="center"/>
            <w:hideMark/>
          </w:tcPr>
          <w:p w14:paraId="2E0BB771" w14:textId="77777777" w:rsidR="009F3BC6" w:rsidRPr="00DD162A" w:rsidRDefault="009F3BC6" w:rsidP="009F3BC6">
            <w:pPr>
              <w:rPr>
                <w:rFonts w:ascii="Arial" w:eastAsia="Times New Roman" w:hAnsi="Arial" w:cs="Arial"/>
                <w:color w:val="000000"/>
                <w:sz w:val="20"/>
                <w:szCs w:val="20"/>
                <w:lang w:eastAsia="en-GB"/>
              </w:rPr>
            </w:pPr>
            <w:r w:rsidRPr="00DD162A">
              <w:rPr>
                <w:rFonts w:ascii="Arial" w:eastAsia="Times New Roman" w:hAnsi="Arial" w:cs="Arial"/>
                <w:color w:val="000000"/>
                <w:sz w:val="20"/>
                <w:szCs w:val="20"/>
                <w:lang w:eastAsia="en-GB"/>
              </w:rPr>
              <w:t>Profit before tax</w:t>
            </w:r>
          </w:p>
        </w:tc>
        <w:tc>
          <w:tcPr>
            <w:tcW w:w="1593" w:type="dxa"/>
            <w:tcBorders>
              <w:top w:val="nil"/>
              <w:left w:val="nil"/>
              <w:bottom w:val="nil"/>
              <w:right w:val="nil"/>
            </w:tcBorders>
            <w:shd w:val="clear" w:color="auto" w:fill="auto"/>
            <w:noWrap/>
            <w:vAlign w:val="center"/>
          </w:tcPr>
          <w:p w14:paraId="12894265" w14:textId="620B9CA7" w:rsidR="009F3BC6" w:rsidRPr="00751993" w:rsidRDefault="00A81281" w:rsidP="009F3BC6">
            <w:pPr>
              <w:jc w:val="right"/>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34,950.6</w:t>
            </w:r>
          </w:p>
        </w:tc>
        <w:tc>
          <w:tcPr>
            <w:tcW w:w="1593" w:type="dxa"/>
            <w:tcBorders>
              <w:top w:val="nil"/>
              <w:left w:val="nil"/>
              <w:bottom w:val="nil"/>
              <w:right w:val="nil"/>
            </w:tcBorders>
            <w:vAlign w:val="center"/>
          </w:tcPr>
          <w:p w14:paraId="36C4D616" w14:textId="020B20C6" w:rsidR="009F3BC6" w:rsidRPr="00751993" w:rsidRDefault="009F3BC6" w:rsidP="009F3BC6">
            <w:pPr>
              <w:jc w:val="right"/>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32,652.4</w:t>
            </w:r>
          </w:p>
        </w:tc>
        <w:tc>
          <w:tcPr>
            <w:tcW w:w="1594" w:type="dxa"/>
            <w:tcBorders>
              <w:top w:val="nil"/>
              <w:left w:val="nil"/>
              <w:bottom w:val="nil"/>
              <w:right w:val="nil"/>
            </w:tcBorders>
            <w:vAlign w:val="center"/>
          </w:tcPr>
          <w:p w14:paraId="3855E914" w14:textId="7BC95419" w:rsidR="009F3BC6" w:rsidRPr="00053DFD" w:rsidRDefault="009F3BC6" w:rsidP="009F3BC6">
            <w:pPr>
              <w:jc w:val="right"/>
              <w:rPr>
                <w:rFonts w:ascii="Arial" w:eastAsia="Times New Roman" w:hAnsi="Arial" w:cs="Arial"/>
                <w:bCs/>
                <w:color w:val="000000"/>
                <w:sz w:val="20"/>
                <w:szCs w:val="20"/>
                <w:lang w:eastAsia="en-GB"/>
              </w:rPr>
            </w:pPr>
            <w:r w:rsidRPr="004F3092">
              <w:rPr>
                <w:rFonts w:ascii="Arial" w:eastAsia="Times New Roman" w:hAnsi="Arial" w:cs="Arial"/>
                <w:color w:val="000000"/>
                <w:sz w:val="20"/>
                <w:szCs w:val="20"/>
                <w:lang w:eastAsia="en-GB"/>
              </w:rPr>
              <w:t>75,577.4</w:t>
            </w:r>
          </w:p>
        </w:tc>
      </w:tr>
      <w:tr w:rsidR="009F3BC6" w:rsidRPr="00DD162A" w14:paraId="36A8E2DC" w14:textId="77777777" w:rsidTr="00153A3A">
        <w:trPr>
          <w:trHeight w:val="281"/>
        </w:trPr>
        <w:tc>
          <w:tcPr>
            <w:tcW w:w="4926" w:type="dxa"/>
            <w:tcBorders>
              <w:top w:val="nil"/>
              <w:left w:val="nil"/>
              <w:bottom w:val="nil"/>
              <w:right w:val="nil"/>
            </w:tcBorders>
            <w:shd w:val="clear" w:color="auto" w:fill="auto"/>
            <w:noWrap/>
            <w:vAlign w:val="center"/>
            <w:hideMark/>
          </w:tcPr>
          <w:p w14:paraId="46A4A475" w14:textId="77777777" w:rsidR="009F3BC6" w:rsidRPr="00DD162A" w:rsidRDefault="009F3BC6" w:rsidP="009F3BC6">
            <w:pPr>
              <w:rPr>
                <w:rFonts w:ascii="Arial" w:eastAsia="Times New Roman" w:hAnsi="Arial" w:cs="Arial"/>
                <w:color w:val="000000"/>
                <w:sz w:val="20"/>
                <w:szCs w:val="20"/>
                <w:lang w:eastAsia="en-GB"/>
              </w:rPr>
            </w:pPr>
            <w:r w:rsidRPr="00DD162A">
              <w:rPr>
                <w:rFonts w:ascii="Arial" w:eastAsia="Times New Roman" w:hAnsi="Arial" w:cs="Arial"/>
                <w:color w:val="000000"/>
                <w:sz w:val="20"/>
                <w:szCs w:val="20"/>
                <w:lang w:eastAsia="en-GB"/>
              </w:rPr>
              <w:t>Finance expense</w:t>
            </w:r>
          </w:p>
        </w:tc>
        <w:tc>
          <w:tcPr>
            <w:tcW w:w="1593" w:type="dxa"/>
            <w:tcBorders>
              <w:top w:val="nil"/>
              <w:left w:val="nil"/>
              <w:bottom w:val="nil"/>
              <w:right w:val="nil"/>
            </w:tcBorders>
            <w:shd w:val="clear" w:color="auto" w:fill="auto"/>
            <w:noWrap/>
            <w:vAlign w:val="center"/>
          </w:tcPr>
          <w:p w14:paraId="354604F4" w14:textId="735A5FAE" w:rsidR="009F3BC6" w:rsidRPr="00751993" w:rsidRDefault="00A81281" w:rsidP="009F3BC6">
            <w:pPr>
              <w:jc w:val="right"/>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51.1</w:t>
            </w:r>
          </w:p>
        </w:tc>
        <w:tc>
          <w:tcPr>
            <w:tcW w:w="1593" w:type="dxa"/>
            <w:tcBorders>
              <w:top w:val="nil"/>
              <w:left w:val="nil"/>
              <w:bottom w:val="nil"/>
              <w:right w:val="nil"/>
            </w:tcBorders>
            <w:vAlign w:val="center"/>
          </w:tcPr>
          <w:p w14:paraId="5A38E66C" w14:textId="7FF50792" w:rsidR="009F3BC6" w:rsidRPr="00751993" w:rsidRDefault="009F3BC6" w:rsidP="009F3BC6">
            <w:pPr>
              <w:jc w:val="right"/>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43.5</w:t>
            </w:r>
          </w:p>
        </w:tc>
        <w:tc>
          <w:tcPr>
            <w:tcW w:w="1594" w:type="dxa"/>
            <w:tcBorders>
              <w:top w:val="nil"/>
              <w:left w:val="nil"/>
              <w:bottom w:val="nil"/>
              <w:right w:val="nil"/>
            </w:tcBorders>
            <w:vAlign w:val="center"/>
          </w:tcPr>
          <w:p w14:paraId="53EC98A5" w14:textId="75AC400F" w:rsidR="009F3BC6" w:rsidRPr="00053DFD" w:rsidRDefault="009F3BC6" w:rsidP="009F3BC6">
            <w:pPr>
              <w:jc w:val="right"/>
              <w:rPr>
                <w:rFonts w:ascii="Arial" w:eastAsia="Times New Roman" w:hAnsi="Arial" w:cs="Arial"/>
                <w:bCs/>
                <w:color w:val="000000"/>
                <w:sz w:val="20"/>
                <w:szCs w:val="20"/>
                <w:lang w:eastAsia="en-GB"/>
              </w:rPr>
            </w:pPr>
            <w:r w:rsidRPr="004F3092">
              <w:rPr>
                <w:rFonts w:ascii="Arial" w:eastAsia="Times New Roman" w:hAnsi="Arial" w:cs="Arial"/>
                <w:color w:val="000000"/>
                <w:sz w:val="20"/>
                <w:szCs w:val="20"/>
                <w:lang w:eastAsia="en-GB"/>
              </w:rPr>
              <w:t>107.0</w:t>
            </w:r>
          </w:p>
        </w:tc>
      </w:tr>
      <w:tr w:rsidR="009F3BC6" w:rsidRPr="00DD162A" w14:paraId="523FFC58" w14:textId="77777777" w:rsidTr="00153A3A">
        <w:trPr>
          <w:trHeight w:val="281"/>
        </w:trPr>
        <w:tc>
          <w:tcPr>
            <w:tcW w:w="4926" w:type="dxa"/>
            <w:tcBorders>
              <w:top w:val="nil"/>
              <w:left w:val="nil"/>
              <w:bottom w:val="nil"/>
              <w:right w:val="nil"/>
            </w:tcBorders>
            <w:shd w:val="clear" w:color="auto" w:fill="auto"/>
            <w:noWrap/>
            <w:vAlign w:val="center"/>
            <w:hideMark/>
          </w:tcPr>
          <w:p w14:paraId="0813E180" w14:textId="77777777" w:rsidR="009F3BC6" w:rsidRPr="00DD162A" w:rsidRDefault="009F3BC6" w:rsidP="009F3BC6">
            <w:pPr>
              <w:rPr>
                <w:rFonts w:ascii="Arial" w:eastAsia="Times New Roman" w:hAnsi="Arial" w:cs="Arial"/>
                <w:color w:val="000000"/>
                <w:sz w:val="20"/>
                <w:szCs w:val="20"/>
                <w:lang w:eastAsia="en-GB"/>
              </w:rPr>
            </w:pPr>
            <w:r w:rsidRPr="00DD162A">
              <w:rPr>
                <w:rFonts w:ascii="Arial" w:eastAsia="Times New Roman" w:hAnsi="Arial" w:cs="Arial"/>
                <w:color w:val="000000"/>
                <w:sz w:val="20"/>
                <w:szCs w:val="20"/>
                <w:lang w:eastAsia="en-GB"/>
              </w:rPr>
              <w:t>Finance income</w:t>
            </w:r>
          </w:p>
        </w:tc>
        <w:tc>
          <w:tcPr>
            <w:tcW w:w="1593" w:type="dxa"/>
            <w:tcBorders>
              <w:top w:val="nil"/>
              <w:left w:val="nil"/>
              <w:bottom w:val="nil"/>
              <w:right w:val="nil"/>
            </w:tcBorders>
            <w:shd w:val="clear" w:color="auto" w:fill="auto"/>
            <w:noWrap/>
            <w:vAlign w:val="center"/>
          </w:tcPr>
          <w:p w14:paraId="7DBE9B3A" w14:textId="1EE9E9DF" w:rsidR="009F3BC6" w:rsidRPr="00751993" w:rsidRDefault="00A81281" w:rsidP="009F3BC6">
            <w:pPr>
              <w:jc w:val="right"/>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(24</w:t>
            </w:r>
            <w:r w:rsidR="00E30144">
              <w:rPr>
                <w:rFonts w:ascii="Arial" w:eastAsia="Times New Roman" w:hAnsi="Arial" w:cs="Arial"/>
                <w:bCs/>
                <w:color w:val="000000"/>
                <w:sz w:val="20"/>
                <w:szCs w:val="20"/>
                <w:lang w:eastAsia="en-GB"/>
              </w:rPr>
              <w:t>6</w:t>
            </w:r>
            <w:r>
              <w:rPr>
                <w:rFonts w:ascii="Arial" w:eastAsia="Times New Roman" w:hAnsi="Arial" w:cs="Arial"/>
                <w:bCs/>
                <w:color w:val="000000"/>
                <w:sz w:val="20"/>
                <w:szCs w:val="20"/>
                <w:lang w:eastAsia="en-GB"/>
              </w:rPr>
              <w:t>.1)</w:t>
            </w:r>
          </w:p>
        </w:tc>
        <w:tc>
          <w:tcPr>
            <w:tcW w:w="1593" w:type="dxa"/>
            <w:tcBorders>
              <w:top w:val="nil"/>
              <w:left w:val="nil"/>
              <w:bottom w:val="nil"/>
              <w:right w:val="nil"/>
            </w:tcBorders>
            <w:vAlign w:val="center"/>
          </w:tcPr>
          <w:p w14:paraId="1455F4F6" w14:textId="76305C5B" w:rsidR="009F3BC6" w:rsidRPr="00751993" w:rsidRDefault="009F3BC6" w:rsidP="009F3BC6">
            <w:pPr>
              <w:jc w:val="right"/>
              <w:rPr>
                <w:rFonts w:ascii="Arial" w:eastAsia="Times New Roman" w:hAnsi="Arial" w:cs="Arial"/>
                <w:bCs/>
                <w:color w:val="000000"/>
                <w:sz w:val="20"/>
                <w:szCs w:val="20"/>
                <w:lang w:eastAsia="en-GB"/>
              </w:rPr>
            </w:pPr>
            <w:r w:rsidRPr="00751993">
              <w:rPr>
                <w:rFonts w:ascii="Arial" w:eastAsia="Times New Roman" w:hAnsi="Arial" w:cs="Arial"/>
                <w:bCs/>
                <w:color w:val="000000"/>
                <w:sz w:val="20"/>
                <w:szCs w:val="20"/>
                <w:lang w:eastAsia="en-GB"/>
              </w:rPr>
              <w:t>(</w:t>
            </w:r>
            <w:r>
              <w:rPr>
                <w:rFonts w:ascii="Arial" w:eastAsia="Times New Roman" w:hAnsi="Arial" w:cs="Arial"/>
                <w:bCs/>
                <w:color w:val="000000"/>
                <w:sz w:val="20"/>
                <w:szCs w:val="20"/>
                <w:lang w:eastAsia="en-GB"/>
              </w:rPr>
              <w:t>101.9</w:t>
            </w:r>
            <w:r w:rsidRPr="00751993">
              <w:rPr>
                <w:rFonts w:ascii="Arial" w:eastAsia="Times New Roman" w:hAnsi="Arial" w:cs="Arial"/>
                <w:bCs/>
                <w:color w:val="000000"/>
                <w:sz w:val="20"/>
                <w:szCs w:val="20"/>
                <w:lang w:eastAsia="en-GB"/>
              </w:rPr>
              <w:t>)</w:t>
            </w:r>
          </w:p>
        </w:tc>
        <w:tc>
          <w:tcPr>
            <w:tcW w:w="1594" w:type="dxa"/>
            <w:tcBorders>
              <w:top w:val="nil"/>
              <w:left w:val="nil"/>
              <w:bottom w:val="nil"/>
              <w:right w:val="nil"/>
            </w:tcBorders>
            <w:vAlign w:val="center"/>
          </w:tcPr>
          <w:p w14:paraId="40A342A1" w14:textId="6C227EC0" w:rsidR="009F3BC6" w:rsidRPr="00053DFD" w:rsidRDefault="009F3BC6" w:rsidP="009F3BC6">
            <w:pPr>
              <w:jc w:val="right"/>
              <w:rPr>
                <w:rFonts w:ascii="Arial" w:eastAsia="Times New Roman" w:hAnsi="Arial" w:cs="Arial"/>
                <w:bCs/>
                <w:color w:val="000000"/>
                <w:sz w:val="20"/>
                <w:szCs w:val="20"/>
                <w:lang w:eastAsia="en-GB"/>
              </w:rPr>
            </w:pPr>
            <w:r w:rsidRPr="004F3092">
              <w:rPr>
                <w:rFonts w:ascii="Arial" w:eastAsia="Times New Roman" w:hAnsi="Arial" w:cs="Arial"/>
                <w:color w:val="000000"/>
                <w:sz w:val="20"/>
                <w:szCs w:val="20"/>
                <w:lang w:eastAsia="en-GB"/>
              </w:rPr>
              <w:t>(327.2)</w:t>
            </w:r>
          </w:p>
        </w:tc>
      </w:tr>
      <w:tr w:rsidR="009F3BC6" w:rsidRPr="00DD162A" w14:paraId="21D4CDC3" w14:textId="77777777" w:rsidTr="00153A3A">
        <w:trPr>
          <w:trHeight w:val="281"/>
        </w:trPr>
        <w:tc>
          <w:tcPr>
            <w:tcW w:w="4926" w:type="dxa"/>
            <w:tcBorders>
              <w:top w:val="nil"/>
              <w:left w:val="nil"/>
              <w:bottom w:val="nil"/>
              <w:right w:val="nil"/>
            </w:tcBorders>
            <w:shd w:val="clear" w:color="auto" w:fill="auto"/>
            <w:noWrap/>
            <w:vAlign w:val="center"/>
            <w:hideMark/>
          </w:tcPr>
          <w:p w14:paraId="7BC09E59" w14:textId="77777777" w:rsidR="009F3BC6" w:rsidRPr="00DD162A" w:rsidRDefault="009F3BC6" w:rsidP="009F3BC6">
            <w:pPr>
              <w:rPr>
                <w:rFonts w:ascii="Arial" w:eastAsia="Times New Roman" w:hAnsi="Arial" w:cs="Arial"/>
                <w:color w:val="000000"/>
                <w:sz w:val="20"/>
                <w:szCs w:val="20"/>
                <w:lang w:eastAsia="en-GB"/>
              </w:rPr>
            </w:pPr>
            <w:r w:rsidRPr="00DD162A">
              <w:rPr>
                <w:rFonts w:ascii="Arial" w:eastAsia="Times New Roman" w:hAnsi="Arial" w:cs="Arial"/>
                <w:color w:val="000000"/>
                <w:sz w:val="20"/>
                <w:szCs w:val="20"/>
                <w:lang w:eastAsia="en-GB"/>
              </w:rPr>
              <w:t>Depreciation of property, plant and equipment</w:t>
            </w:r>
          </w:p>
        </w:tc>
        <w:tc>
          <w:tcPr>
            <w:tcW w:w="1593" w:type="dxa"/>
            <w:tcBorders>
              <w:top w:val="nil"/>
              <w:left w:val="nil"/>
              <w:bottom w:val="nil"/>
              <w:right w:val="nil"/>
            </w:tcBorders>
            <w:shd w:val="clear" w:color="auto" w:fill="auto"/>
            <w:noWrap/>
            <w:vAlign w:val="center"/>
          </w:tcPr>
          <w:p w14:paraId="2787A921" w14:textId="6170D879" w:rsidR="009F3BC6" w:rsidRPr="00751993" w:rsidRDefault="00A81281" w:rsidP="009F3BC6">
            <w:pPr>
              <w:jc w:val="right"/>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750.4</w:t>
            </w:r>
          </w:p>
        </w:tc>
        <w:tc>
          <w:tcPr>
            <w:tcW w:w="1593" w:type="dxa"/>
            <w:tcBorders>
              <w:top w:val="nil"/>
              <w:left w:val="nil"/>
              <w:bottom w:val="nil"/>
              <w:right w:val="nil"/>
            </w:tcBorders>
            <w:vAlign w:val="center"/>
          </w:tcPr>
          <w:p w14:paraId="1A7026F0" w14:textId="38540A9E" w:rsidR="009F3BC6" w:rsidRPr="00751993" w:rsidRDefault="009F3BC6" w:rsidP="009F3BC6">
            <w:pPr>
              <w:jc w:val="right"/>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322.3</w:t>
            </w:r>
          </w:p>
        </w:tc>
        <w:tc>
          <w:tcPr>
            <w:tcW w:w="1594" w:type="dxa"/>
            <w:tcBorders>
              <w:top w:val="nil"/>
              <w:left w:val="nil"/>
              <w:bottom w:val="nil"/>
              <w:right w:val="nil"/>
            </w:tcBorders>
            <w:vAlign w:val="center"/>
          </w:tcPr>
          <w:p w14:paraId="5B9297C2" w14:textId="02657CF9" w:rsidR="009F3BC6" w:rsidRPr="00053DFD" w:rsidRDefault="009F3BC6" w:rsidP="009F3BC6">
            <w:pPr>
              <w:jc w:val="right"/>
              <w:rPr>
                <w:rFonts w:ascii="Arial" w:eastAsia="Times New Roman" w:hAnsi="Arial" w:cs="Arial"/>
                <w:bCs/>
                <w:color w:val="000000"/>
                <w:sz w:val="20"/>
                <w:szCs w:val="20"/>
                <w:lang w:eastAsia="en-GB"/>
              </w:rPr>
            </w:pPr>
            <w:r w:rsidRPr="004F3092">
              <w:rPr>
                <w:rFonts w:ascii="Arial" w:eastAsia="Times New Roman" w:hAnsi="Arial" w:cs="Arial"/>
                <w:color w:val="000000"/>
                <w:sz w:val="20"/>
                <w:szCs w:val="20"/>
                <w:lang w:eastAsia="en-GB"/>
              </w:rPr>
              <w:t>738.6</w:t>
            </w:r>
          </w:p>
        </w:tc>
      </w:tr>
      <w:tr w:rsidR="009F3BC6" w:rsidRPr="00DD162A" w14:paraId="3C66DAD7" w14:textId="77777777" w:rsidTr="00153A3A">
        <w:trPr>
          <w:trHeight w:val="281"/>
        </w:trPr>
        <w:tc>
          <w:tcPr>
            <w:tcW w:w="4926" w:type="dxa"/>
            <w:tcBorders>
              <w:top w:val="nil"/>
              <w:left w:val="nil"/>
              <w:bottom w:val="nil"/>
              <w:right w:val="nil"/>
            </w:tcBorders>
            <w:shd w:val="clear" w:color="auto" w:fill="auto"/>
            <w:noWrap/>
            <w:vAlign w:val="center"/>
            <w:hideMark/>
          </w:tcPr>
          <w:p w14:paraId="7BE674F9" w14:textId="77777777" w:rsidR="009F3BC6" w:rsidRPr="00DD162A" w:rsidRDefault="009F3BC6" w:rsidP="009F3BC6">
            <w:pPr>
              <w:rPr>
                <w:rFonts w:ascii="Arial" w:eastAsia="Times New Roman" w:hAnsi="Arial" w:cs="Arial"/>
                <w:color w:val="000000"/>
                <w:sz w:val="20"/>
                <w:szCs w:val="20"/>
                <w:lang w:eastAsia="en-GB"/>
              </w:rPr>
            </w:pPr>
            <w:r w:rsidRPr="00DD162A">
              <w:rPr>
                <w:rFonts w:ascii="Arial" w:eastAsia="Times New Roman" w:hAnsi="Arial" w:cs="Arial"/>
                <w:color w:val="000000"/>
                <w:sz w:val="20"/>
                <w:szCs w:val="20"/>
                <w:lang w:eastAsia="en-GB"/>
              </w:rPr>
              <w:t>Amortisation of intangible assets</w:t>
            </w:r>
          </w:p>
        </w:tc>
        <w:tc>
          <w:tcPr>
            <w:tcW w:w="1593" w:type="dxa"/>
            <w:tcBorders>
              <w:top w:val="nil"/>
              <w:left w:val="nil"/>
              <w:bottom w:val="nil"/>
              <w:right w:val="nil"/>
            </w:tcBorders>
            <w:shd w:val="clear" w:color="auto" w:fill="auto"/>
            <w:noWrap/>
            <w:vAlign w:val="center"/>
          </w:tcPr>
          <w:p w14:paraId="53226B11" w14:textId="2196F03C" w:rsidR="009F3BC6" w:rsidRPr="00751993" w:rsidRDefault="00A81281" w:rsidP="009F3BC6">
            <w:pPr>
              <w:jc w:val="right"/>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360.0</w:t>
            </w:r>
          </w:p>
        </w:tc>
        <w:tc>
          <w:tcPr>
            <w:tcW w:w="1593" w:type="dxa"/>
            <w:tcBorders>
              <w:top w:val="nil"/>
              <w:left w:val="nil"/>
              <w:bottom w:val="nil"/>
              <w:right w:val="nil"/>
            </w:tcBorders>
            <w:vAlign w:val="center"/>
          </w:tcPr>
          <w:p w14:paraId="6A7259B1" w14:textId="0B28171C" w:rsidR="009F3BC6" w:rsidRPr="00751993" w:rsidRDefault="009F3BC6" w:rsidP="009F3BC6">
            <w:pPr>
              <w:jc w:val="right"/>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360.0</w:t>
            </w:r>
          </w:p>
        </w:tc>
        <w:tc>
          <w:tcPr>
            <w:tcW w:w="1594" w:type="dxa"/>
            <w:tcBorders>
              <w:top w:val="nil"/>
              <w:left w:val="nil"/>
              <w:bottom w:val="nil"/>
              <w:right w:val="nil"/>
            </w:tcBorders>
            <w:vAlign w:val="center"/>
          </w:tcPr>
          <w:p w14:paraId="3FE7D86E" w14:textId="0A77FB42" w:rsidR="009F3BC6" w:rsidRPr="00053DFD" w:rsidRDefault="009F3BC6" w:rsidP="009F3BC6">
            <w:pPr>
              <w:jc w:val="right"/>
              <w:rPr>
                <w:rFonts w:ascii="Arial" w:eastAsia="Times New Roman" w:hAnsi="Arial" w:cs="Arial"/>
                <w:bCs/>
                <w:color w:val="000000"/>
                <w:sz w:val="20"/>
                <w:szCs w:val="20"/>
                <w:lang w:eastAsia="en-GB"/>
              </w:rPr>
            </w:pPr>
            <w:r w:rsidRPr="004F3092">
              <w:rPr>
                <w:rFonts w:ascii="Arial" w:eastAsia="Times New Roman" w:hAnsi="Arial" w:cs="Arial"/>
                <w:color w:val="000000"/>
                <w:sz w:val="20"/>
                <w:szCs w:val="20"/>
                <w:lang w:eastAsia="en-GB"/>
              </w:rPr>
              <w:t>720.0</w:t>
            </w:r>
          </w:p>
        </w:tc>
      </w:tr>
      <w:tr w:rsidR="009F3BC6" w:rsidRPr="00DD162A" w14:paraId="6B828182" w14:textId="77777777" w:rsidTr="00153A3A">
        <w:trPr>
          <w:trHeight w:val="287"/>
        </w:trPr>
        <w:tc>
          <w:tcPr>
            <w:tcW w:w="4926" w:type="dxa"/>
            <w:tcBorders>
              <w:top w:val="nil"/>
              <w:left w:val="nil"/>
              <w:bottom w:val="nil"/>
              <w:right w:val="nil"/>
            </w:tcBorders>
            <w:shd w:val="clear" w:color="auto" w:fill="auto"/>
            <w:noWrap/>
            <w:vAlign w:val="center"/>
            <w:hideMark/>
          </w:tcPr>
          <w:p w14:paraId="50E62CA4" w14:textId="77777777" w:rsidR="009F3BC6" w:rsidRPr="00DD162A" w:rsidRDefault="009F3BC6" w:rsidP="009F3BC6">
            <w:pPr>
              <w:rPr>
                <w:rFonts w:ascii="Arial" w:eastAsia="Times New Roman" w:hAnsi="Arial" w:cs="Arial"/>
                <w:color w:val="000000"/>
                <w:sz w:val="20"/>
                <w:szCs w:val="20"/>
                <w:lang w:eastAsia="en-GB"/>
              </w:rPr>
            </w:pPr>
            <w:r w:rsidRPr="00DD162A">
              <w:rPr>
                <w:rFonts w:ascii="Arial" w:eastAsia="Times New Roman" w:hAnsi="Arial" w:cs="Arial"/>
                <w:color w:val="000000"/>
                <w:sz w:val="20"/>
                <w:szCs w:val="20"/>
                <w:lang w:eastAsia="en-GB"/>
              </w:rPr>
              <w:t>Share based payments</w:t>
            </w:r>
          </w:p>
        </w:tc>
        <w:tc>
          <w:tcPr>
            <w:tcW w:w="1593" w:type="dxa"/>
            <w:tcBorders>
              <w:top w:val="nil"/>
              <w:left w:val="nil"/>
              <w:bottom w:val="nil"/>
              <w:right w:val="nil"/>
            </w:tcBorders>
            <w:shd w:val="clear" w:color="auto" w:fill="auto"/>
            <w:noWrap/>
            <w:vAlign w:val="center"/>
          </w:tcPr>
          <w:p w14:paraId="294B74CF" w14:textId="77103B15" w:rsidR="009F3BC6" w:rsidRPr="00751993" w:rsidRDefault="00153597" w:rsidP="009F3BC6">
            <w:pPr>
              <w:jc w:val="right"/>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827.7</w:t>
            </w:r>
          </w:p>
        </w:tc>
        <w:tc>
          <w:tcPr>
            <w:tcW w:w="1593" w:type="dxa"/>
            <w:tcBorders>
              <w:top w:val="nil"/>
              <w:left w:val="nil"/>
              <w:bottom w:val="nil"/>
              <w:right w:val="nil"/>
            </w:tcBorders>
            <w:vAlign w:val="center"/>
          </w:tcPr>
          <w:p w14:paraId="4ECCEBE3" w14:textId="1C0B3A22" w:rsidR="009F3BC6" w:rsidRPr="00751993" w:rsidRDefault="009F3BC6" w:rsidP="009F3BC6">
            <w:pPr>
              <w:jc w:val="right"/>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683.4</w:t>
            </w:r>
          </w:p>
        </w:tc>
        <w:tc>
          <w:tcPr>
            <w:tcW w:w="1594" w:type="dxa"/>
            <w:tcBorders>
              <w:top w:val="nil"/>
              <w:left w:val="nil"/>
              <w:bottom w:val="nil"/>
              <w:right w:val="nil"/>
            </w:tcBorders>
            <w:vAlign w:val="center"/>
          </w:tcPr>
          <w:p w14:paraId="26823045" w14:textId="37EEB931" w:rsidR="009F3BC6" w:rsidRPr="00053DFD" w:rsidRDefault="009F3BC6" w:rsidP="009F3BC6">
            <w:pPr>
              <w:jc w:val="right"/>
              <w:rPr>
                <w:rFonts w:ascii="Arial" w:eastAsia="Times New Roman" w:hAnsi="Arial" w:cs="Arial"/>
                <w:bCs/>
                <w:color w:val="000000"/>
                <w:sz w:val="20"/>
                <w:szCs w:val="20"/>
                <w:lang w:eastAsia="en-GB"/>
              </w:rPr>
            </w:pPr>
            <w:r w:rsidRPr="004F3092">
              <w:rPr>
                <w:rFonts w:ascii="Arial" w:eastAsia="Times New Roman" w:hAnsi="Arial" w:cs="Arial"/>
                <w:color w:val="000000"/>
                <w:sz w:val="20"/>
                <w:szCs w:val="20"/>
                <w:lang w:eastAsia="en-GB"/>
              </w:rPr>
              <w:t>1,821.8</w:t>
            </w:r>
          </w:p>
        </w:tc>
      </w:tr>
      <w:tr w:rsidR="009F3BC6" w:rsidRPr="00DD162A" w14:paraId="1D121A31" w14:textId="77777777" w:rsidTr="00153A3A">
        <w:trPr>
          <w:trHeight w:val="281"/>
        </w:trPr>
        <w:tc>
          <w:tcPr>
            <w:tcW w:w="4926" w:type="dxa"/>
            <w:tcBorders>
              <w:top w:val="nil"/>
              <w:left w:val="nil"/>
              <w:bottom w:val="nil"/>
              <w:right w:val="nil"/>
            </w:tcBorders>
            <w:shd w:val="clear" w:color="auto" w:fill="auto"/>
            <w:noWrap/>
            <w:vAlign w:val="center"/>
            <w:hideMark/>
          </w:tcPr>
          <w:p w14:paraId="08AF4C25" w14:textId="77777777" w:rsidR="009F3BC6" w:rsidRPr="00DD162A" w:rsidRDefault="009F3BC6" w:rsidP="009F3BC6">
            <w:pPr>
              <w:rPr>
                <w:rFonts w:ascii="Arial" w:eastAsia="Times New Roman" w:hAnsi="Arial" w:cs="Arial"/>
                <w:color w:val="000000"/>
                <w:sz w:val="20"/>
                <w:szCs w:val="20"/>
                <w:lang w:eastAsia="en-GB"/>
              </w:rPr>
            </w:pPr>
          </w:p>
        </w:tc>
        <w:tc>
          <w:tcPr>
            <w:tcW w:w="1593" w:type="dxa"/>
            <w:tcBorders>
              <w:top w:val="single" w:sz="8" w:space="0" w:color="auto"/>
              <w:left w:val="nil"/>
              <w:bottom w:val="nil"/>
              <w:right w:val="nil"/>
            </w:tcBorders>
            <w:shd w:val="clear" w:color="auto" w:fill="auto"/>
            <w:vAlign w:val="center"/>
          </w:tcPr>
          <w:p w14:paraId="4808DAEB" w14:textId="2D657899" w:rsidR="009F3BC6" w:rsidRPr="00751993" w:rsidRDefault="00153597" w:rsidP="009F3BC6">
            <w:pPr>
              <w:jc w:val="right"/>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36,693.7</w:t>
            </w:r>
          </w:p>
        </w:tc>
        <w:tc>
          <w:tcPr>
            <w:tcW w:w="1593" w:type="dxa"/>
            <w:tcBorders>
              <w:top w:val="single" w:sz="8" w:space="0" w:color="auto"/>
              <w:left w:val="nil"/>
              <w:bottom w:val="nil"/>
              <w:right w:val="nil"/>
            </w:tcBorders>
            <w:vAlign w:val="center"/>
          </w:tcPr>
          <w:p w14:paraId="16C33B0C" w14:textId="75C1DD3A" w:rsidR="009F3BC6" w:rsidRPr="00751993" w:rsidRDefault="009F3BC6" w:rsidP="009F3BC6">
            <w:pPr>
              <w:jc w:val="right"/>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33,959.7</w:t>
            </w:r>
          </w:p>
        </w:tc>
        <w:tc>
          <w:tcPr>
            <w:tcW w:w="1594" w:type="dxa"/>
            <w:tcBorders>
              <w:top w:val="single" w:sz="8" w:space="0" w:color="auto"/>
              <w:left w:val="nil"/>
              <w:bottom w:val="nil"/>
              <w:right w:val="nil"/>
            </w:tcBorders>
            <w:vAlign w:val="center"/>
          </w:tcPr>
          <w:p w14:paraId="5ABCEE62" w14:textId="5C436FB2" w:rsidR="009F3BC6" w:rsidRPr="00053DFD" w:rsidRDefault="009F3BC6" w:rsidP="009F3BC6">
            <w:pPr>
              <w:jc w:val="right"/>
              <w:rPr>
                <w:rFonts w:ascii="Arial" w:eastAsia="Times New Roman" w:hAnsi="Arial" w:cs="Arial"/>
                <w:bCs/>
                <w:color w:val="000000"/>
                <w:sz w:val="20"/>
                <w:szCs w:val="20"/>
                <w:lang w:eastAsia="en-GB"/>
              </w:rPr>
            </w:pPr>
            <w:r w:rsidRPr="004F3092">
              <w:rPr>
                <w:rFonts w:ascii="Arial" w:eastAsia="Times New Roman" w:hAnsi="Arial" w:cs="Arial"/>
                <w:color w:val="000000"/>
                <w:sz w:val="20"/>
                <w:szCs w:val="20"/>
                <w:lang w:eastAsia="en-GB"/>
              </w:rPr>
              <w:t>78,637.6</w:t>
            </w:r>
          </w:p>
        </w:tc>
      </w:tr>
      <w:tr w:rsidR="009F3BC6" w:rsidRPr="00DD162A" w14:paraId="4505BA38" w14:textId="77777777" w:rsidTr="00153A3A">
        <w:trPr>
          <w:trHeight w:val="281"/>
        </w:trPr>
        <w:tc>
          <w:tcPr>
            <w:tcW w:w="4926" w:type="dxa"/>
            <w:tcBorders>
              <w:top w:val="nil"/>
              <w:left w:val="nil"/>
              <w:bottom w:val="nil"/>
              <w:right w:val="nil"/>
            </w:tcBorders>
            <w:shd w:val="clear" w:color="auto" w:fill="auto"/>
            <w:noWrap/>
            <w:vAlign w:val="center"/>
            <w:hideMark/>
          </w:tcPr>
          <w:p w14:paraId="5A83958D" w14:textId="77777777" w:rsidR="009F3BC6" w:rsidRPr="00DD162A" w:rsidRDefault="009F3BC6" w:rsidP="009F3BC6">
            <w:pPr>
              <w:rPr>
                <w:rFonts w:ascii="Arial" w:eastAsia="Times New Roman" w:hAnsi="Arial" w:cs="Arial"/>
                <w:color w:val="000000"/>
                <w:sz w:val="20"/>
                <w:szCs w:val="20"/>
                <w:lang w:eastAsia="en-GB"/>
              </w:rPr>
            </w:pPr>
          </w:p>
        </w:tc>
        <w:tc>
          <w:tcPr>
            <w:tcW w:w="1593" w:type="dxa"/>
            <w:tcBorders>
              <w:top w:val="nil"/>
              <w:left w:val="nil"/>
              <w:bottom w:val="nil"/>
              <w:right w:val="nil"/>
            </w:tcBorders>
            <w:shd w:val="clear" w:color="auto" w:fill="auto"/>
            <w:noWrap/>
            <w:vAlign w:val="center"/>
          </w:tcPr>
          <w:p w14:paraId="050D3491" w14:textId="77777777" w:rsidR="009F3BC6" w:rsidRPr="00751993" w:rsidRDefault="009F3BC6" w:rsidP="009F3BC6">
            <w:pPr>
              <w:jc w:val="right"/>
              <w:rPr>
                <w:rFonts w:ascii="Arial" w:eastAsia="Times New Roman" w:hAnsi="Arial" w:cs="Arial"/>
                <w:b/>
                <w:bCs/>
                <w:color w:val="000000"/>
                <w:sz w:val="20"/>
                <w:szCs w:val="20"/>
                <w:lang w:eastAsia="en-GB"/>
              </w:rPr>
            </w:pPr>
          </w:p>
        </w:tc>
        <w:tc>
          <w:tcPr>
            <w:tcW w:w="1593" w:type="dxa"/>
            <w:tcBorders>
              <w:top w:val="nil"/>
              <w:left w:val="nil"/>
              <w:bottom w:val="nil"/>
              <w:right w:val="nil"/>
            </w:tcBorders>
            <w:vAlign w:val="center"/>
          </w:tcPr>
          <w:p w14:paraId="66A65931" w14:textId="77777777" w:rsidR="009F3BC6" w:rsidRPr="00DD162A" w:rsidRDefault="009F3BC6" w:rsidP="009F3BC6">
            <w:pPr>
              <w:jc w:val="right"/>
              <w:rPr>
                <w:rFonts w:ascii="Arial" w:eastAsia="Times New Roman" w:hAnsi="Arial" w:cs="Arial"/>
                <w:sz w:val="20"/>
                <w:szCs w:val="20"/>
                <w:lang w:eastAsia="en-GB"/>
              </w:rPr>
            </w:pPr>
          </w:p>
        </w:tc>
        <w:tc>
          <w:tcPr>
            <w:tcW w:w="1594" w:type="dxa"/>
            <w:tcBorders>
              <w:top w:val="nil"/>
              <w:left w:val="nil"/>
              <w:bottom w:val="nil"/>
              <w:right w:val="nil"/>
            </w:tcBorders>
            <w:vAlign w:val="center"/>
          </w:tcPr>
          <w:p w14:paraId="16B8A7B0" w14:textId="77777777" w:rsidR="009F3BC6" w:rsidRPr="00053DFD" w:rsidRDefault="009F3BC6" w:rsidP="009F3BC6">
            <w:pPr>
              <w:jc w:val="right"/>
              <w:rPr>
                <w:rFonts w:ascii="Arial" w:eastAsia="Times New Roman" w:hAnsi="Arial" w:cs="Arial"/>
                <w:bCs/>
                <w:color w:val="000000"/>
                <w:sz w:val="20"/>
                <w:szCs w:val="20"/>
                <w:lang w:eastAsia="en-GB"/>
              </w:rPr>
            </w:pPr>
          </w:p>
        </w:tc>
      </w:tr>
      <w:tr w:rsidR="009F3BC6" w:rsidRPr="00DD162A" w14:paraId="7B307260" w14:textId="77777777" w:rsidTr="00153A3A">
        <w:trPr>
          <w:trHeight w:val="281"/>
        </w:trPr>
        <w:tc>
          <w:tcPr>
            <w:tcW w:w="4926" w:type="dxa"/>
            <w:tcBorders>
              <w:top w:val="nil"/>
              <w:left w:val="nil"/>
              <w:bottom w:val="nil"/>
              <w:right w:val="nil"/>
            </w:tcBorders>
            <w:shd w:val="clear" w:color="auto" w:fill="auto"/>
            <w:noWrap/>
            <w:vAlign w:val="center"/>
            <w:hideMark/>
          </w:tcPr>
          <w:p w14:paraId="07C5C16D" w14:textId="77777777" w:rsidR="009F3BC6" w:rsidRPr="00DD162A" w:rsidRDefault="009F3BC6" w:rsidP="009F3BC6">
            <w:pPr>
              <w:rPr>
                <w:rFonts w:ascii="Arial" w:eastAsia="Times New Roman" w:hAnsi="Arial" w:cs="Arial"/>
                <w:color w:val="000000"/>
                <w:sz w:val="20"/>
                <w:szCs w:val="20"/>
                <w:lang w:eastAsia="en-GB"/>
              </w:rPr>
            </w:pPr>
            <w:r w:rsidRPr="00DD162A">
              <w:rPr>
                <w:rFonts w:ascii="Arial" w:eastAsia="Times New Roman" w:hAnsi="Arial" w:cs="Arial"/>
                <w:color w:val="000000"/>
                <w:sz w:val="20"/>
                <w:szCs w:val="20"/>
                <w:lang w:eastAsia="en-GB"/>
              </w:rPr>
              <w:t>(Increase)/Decrease in trade and other receivables</w:t>
            </w:r>
          </w:p>
        </w:tc>
        <w:tc>
          <w:tcPr>
            <w:tcW w:w="1593" w:type="dxa"/>
            <w:tcBorders>
              <w:top w:val="nil"/>
              <w:left w:val="nil"/>
              <w:bottom w:val="nil"/>
              <w:right w:val="nil"/>
            </w:tcBorders>
            <w:shd w:val="clear" w:color="auto" w:fill="auto"/>
            <w:noWrap/>
            <w:vAlign w:val="center"/>
          </w:tcPr>
          <w:p w14:paraId="489A2639" w14:textId="1E8B92D7" w:rsidR="009F3BC6" w:rsidRPr="00751993" w:rsidRDefault="00F07110" w:rsidP="009F3BC6">
            <w:pPr>
              <w:jc w:val="right"/>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7,455.3</w:t>
            </w:r>
          </w:p>
        </w:tc>
        <w:tc>
          <w:tcPr>
            <w:tcW w:w="1593" w:type="dxa"/>
            <w:tcBorders>
              <w:top w:val="nil"/>
              <w:left w:val="nil"/>
              <w:bottom w:val="nil"/>
              <w:right w:val="nil"/>
            </w:tcBorders>
            <w:vAlign w:val="center"/>
          </w:tcPr>
          <w:p w14:paraId="5CB93850" w14:textId="2950E0B9" w:rsidR="009F3BC6" w:rsidRPr="00751993" w:rsidRDefault="009F3BC6" w:rsidP="009F3BC6">
            <w:pPr>
              <w:jc w:val="right"/>
              <w:rPr>
                <w:rFonts w:ascii="Arial" w:eastAsia="Times New Roman" w:hAnsi="Arial" w:cs="Arial"/>
                <w:bCs/>
                <w:color w:val="000000"/>
                <w:sz w:val="20"/>
                <w:szCs w:val="20"/>
                <w:lang w:eastAsia="en-GB"/>
              </w:rPr>
            </w:pPr>
            <w:r w:rsidRPr="00751993">
              <w:rPr>
                <w:rFonts w:ascii="Arial" w:eastAsia="Times New Roman" w:hAnsi="Arial" w:cs="Arial"/>
                <w:bCs/>
                <w:color w:val="000000"/>
                <w:sz w:val="20"/>
                <w:szCs w:val="20"/>
                <w:lang w:eastAsia="en-GB"/>
              </w:rPr>
              <w:t>(</w:t>
            </w:r>
            <w:r>
              <w:rPr>
                <w:rFonts w:ascii="Arial" w:eastAsia="Times New Roman" w:hAnsi="Arial" w:cs="Arial"/>
                <w:bCs/>
                <w:color w:val="000000"/>
                <w:sz w:val="20"/>
                <w:szCs w:val="20"/>
                <w:lang w:eastAsia="en-GB"/>
              </w:rPr>
              <w:t>11,417.4</w:t>
            </w:r>
            <w:r w:rsidRPr="00751993">
              <w:rPr>
                <w:rFonts w:ascii="Arial" w:eastAsia="Times New Roman" w:hAnsi="Arial" w:cs="Arial"/>
                <w:bCs/>
                <w:color w:val="000000"/>
                <w:sz w:val="20"/>
                <w:szCs w:val="20"/>
                <w:lang w:eastAsia="en-GB"/>
              </w:rPr>
              <w:t>)</w:t>
            </w:r>
          </w:p>
        </w:tc>
        <w:tc>
          <w:tcPr>
            <w:tcW w:w="1594" w:type="dxa"/>
            <w:tcBorders>
              <w:top w:val="nil"/>
              <w:left w:val="nil"/>
              <w:bottom w:val="nil"/>
              <w:right w:val="nil"/>
            </w:tcBorders>
            <w:vAlign w:val="center"/>
          </w:tcPr>
          <w:p w14:paraId="48B24C93" w14:textId="0BFDD33D" w:rsidR="009F3BC6" w:rsidRPr="00053DFD" w:rsidRDefault="009F3BC6" w:rsidP="009F3BC6">
            <w:pPr>
              <w:jc w:val="right"/>
              <w:rPr>
                <w:rFonts w:ascii="Arial" w:eastAsia="Times New Roman" w:hAnsi="Arial" w:cs="Arial"/>
                <w:bCs/>
                <w:color w:val="000000"/>
                <w:sz w:val="20"/>
                <w:szCs w:val="20"/>
                <w:lang w:eastAsia="en-GB"/>
              </w:rPr>
            </w:pPr>
            <w:r w:rsidRPr="004F3092">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7,301.0</w:t>
            </w:r>
            <w:r w:rsidRPr="004F3092">
              <w:rPr>
                <w:rFonts w:ascii="Arial" w:eastAsia="Times New Roman" w:hAnsi="Arial" w:cs="Arial"/>
                <w:color w:val="000000"/>
                <w:sz w:val="20"/>
                <w:szCs w:val="20"/>
                <w:lang w:eastAsia="en-GB"/>
              </w:rPr>
              <w:t>)</w:t>
            </w:r>
          </w:p>
        </w:tc>
      </w:tr>
      <w:tr w:rsidR="009F3BC6" w:rsidRPr="00DD162A" w14:paraId="64BDDA2C" w14:textId="77777777" w:rsidTr="00153A3A">
        <w:trPr>
          <w:trHeight w:val="281"/>
        </w:trPr>
        <w:tc>
          <w:tcPr>
            <w:tcW w:w="4926" w:type="dxa"/>
            <w:tcBorders>
              <w:top w:val="nil"/>
              <w:left w:val="nil"/>
              <w:bottom w:val="nil"/>
              <w:right w:val="nil"/>
            </w:tcBorders>
            <w:shd w:val="clear" w:color="auto" w:fill="auto"/>
            <w:noWrap/>
            <w:vAlign w:val="center"/>
            <w:hideMark/>
          </w:tcPr>
          <w:p w14:paraId="0CA0B7F3" w14:textId="77777777" w:rsidR="009F3BC6" w:rsidRPr="00DD162A" w:rsidRDefault="009F3BC6" w:rsidP="009F3BC6">
            <w:pPr>
              <w:rPr>
                <w:rFonts w:ascii="Arial" w:eastAsia="Times New Roman" w:hAnsi="Arial" w:cs="Arial"/>
                <w:color w:val="000000"/>
                <w:sz w:val="20"/>
                <w:szCs w:val="20"/>
                <w:lang w:eastAsia="en-GB"/>
              </w:rPr>
            </w:pPr>
            <w:r w:rsidRPr="00DD162A">
              <w:rPr>
                <w:rFonts w:ascii="Arial" w:eastAsia="Times New Roman" w:hAnsi="Arial" w:cs="Arial"/>
                <w:color w:val="000000"/>
                <w:sz w:val="20"/>
                <w:szCs w:val="20"/>
                <w:lang w:eastAsia="en-GB"/>
              </w:rPr>
              <w:t>(Increase)/Decrease in inventories</w:t>
            </w:r>
          </w:p>
        </w:tc>
        <w:tc>
          <w:tcPr>
            <w:tcW w:w="1593" w:type="dxa"/>
            <w:tcBorders>
              <w:top w:val="nil"/>
              <w:left w:val="nil"/>
              <w:bottom w:val="nil"/>
              <w:right w:val="nil"/>
            </w:tcBorders>
            <w:shd w:val="clear" w:color="auto" w:fill="auto"/>
            <w:noWrap/>
            <w:vAlign w:val="center"/>
          </w:tcPr>
          <w:p w14:paraId="0CBDAE7C" w14:textId="4576E705" w:rsidR="009F3BC6" w:rsidRPr="00751993" w:rsidRDefault="00153597" w:rsidP="009F3BC6">
            <w:pPr>
              <w:jc w:val="right"/>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(2,031.1)</w:t>
            </w:r>
          </w:p>
        </w:tc>
        <w:tc>
          <w:tcPr>
            <w:tcW w:w="1593" w:type="dxa"/>
            <w:tcBorders>
              <w:top w:val="nil"/>
              <w:left w:val="nil"/>
              <w:bottom w:val="nil"/>
              <w:right w:val="nil"/>
            </w:tcBorders>
            <w:vAlign w:val="center"/>
          </w:tcPr>
          <w:p w14:paraId="63DB9047" w14:textId="1EC9ED5B" w:rsidR="009F3BC6" w:rsidRPr="00751993" w:rsidRDefault="009F3BC6" w:rsidP="009F3BC6">
            <w:pPr>
              <w:jc w:val="right"/>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(5,253.1)</w:t>
            </w:r>
          </w:p>
        </w:tc>
        <w:tc>
          <w:tcPr>
            <w:tcW w:w="1594" w:type="dxa"/>
            <w:tcBorders>
              <w:top w:val="nil"/>
              <w:left w:val="nil"/>
              <w:bottom w:val="nil"/>
              <w:right w:val="nil"/>
            </w:tcBorders>
            <w:vAlign w:val="center"/>
          </w:tcPr>
          <w:p w14:paraId="793AEDB3" w14:textId="239D9557" w:rsidR="009F3BC6" w:rsidRPr="00053DFD" w:rsidRDefault="009F3BC6" w:rsidP="009F3BC6">
            <w:pPr>
              <w:jc w:val="right"/>
              <w:rPr>
                <w:rFonts w:ascii="Arial" w:eastAsia="Times New Roman" w:hAnsi="Arial" w:cs="Arial"/>
                <w:bCs/>
                <w:color w:val="000000"/>
                <w:sz w:val="20"/>
                <w:szCs w:val="20"/>
                <w:lang w:eastAsia="en-GB"/>
              </w:rPr>
            </w:pPr>
            <w:r w:rsidRPr="004F3092">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16,414.0</w:t>
            </w:r>
            <w:r w:rsidRPr="004F3092">
              <w:rPr>
                <w:rFonts w:ascii="Arial" w:eastAsia="Times New Roman" w:hAnsi="Arial" w:cs="Arial"/>
                <w:color w:val="000000"/>
                <w:sz w:val="20"/>
                <w:szCs w:val="20"/>
                <w:lang w:eastAsia="en-GB"/>
              </w:rPr>
              <w:t>)</w:t>
            </w:r>
          </w:p>
        </w:tc>
      </w:tr>
      <w:tr w:rsidR="009F3BC6" w:rsidRPr="00DD162A" w14:paraId="0AC1ADEA" w14:textId="77777777" w:rsidTr="00153A3A">
        <w:trPr>
          <w:trHeight w:val="287"/>
        </w:trPr>
        <w:tc>
          <w:tcPr>
            <w:tcW w:w="4926" w:type="dxa"/>
            <w:tcBorders>
              <w:top w:val="nil"/>
              <w:left w:val="nil"/>
              <w:bottom w:val="nil"/>
              <w:right w:val="nil"/>
            </w:tcBorders>
            <w:shd w:val="clear" w:color="auto" w:fill="auto"/>
            <w:noWrap/>
            <w:vAlign w:val="center"/>
            <w:hideMark/>
          </w:tcPr>
          <w:p w14:paraId="6267A46C" w14:textId="77777777" w:rsidR="009F3BC6" w:rsidRPr="00DD162A" w:rsidRDefault="009F3BC6" w:rsidP="009F3BC6">
            <w:pPr>
              <w:rPr>
                <w:rFonts w:ascii="Arial" w:eastAsia="Times New Roman" w:hAnsi="Arial" w:cs="Arial"/>
                <w:color w:val="000000"/>
                <w:sz w:val="20"/>
                <w:szCs w:val="20"/>
                <w:lang w:eastAsia="en-GB"/>
              </w:rPr>
            </w:pPr>
            <w:r w:rsidRPr="00DD162A">
              <w:rPr>
                <w:rFonts w:ascii="Arial" w:eastAsia="Times New Roman" w:hAnsi="Arial" w:cs="Arial"/>
                <w:color w:val="000000"/>
                <w:sz w:val="20"/>
                <w:szCs w:val="20"/>
                <w:lang w:eastAsia="en-GB"/>
              </w:rPr>
              <w:t>Increase/(Decrease) in trade and other payables</w:t>
            </w:r>
          </w:p>
        </w:tc>
        <w:tc>
          <w:tcPr>
            <w:tcW w:w="1593" w:type="dxa"/>
            <w:tcBorders>
              <w:top w:val="nil"/>
              <w:left w:val="nil"/>
              <w:bottom w:val="single" w:sz="8" w:space="0" w:color="auto"/>
              <w:right w:val="nil"/>
            </w:tcBorders>
            <w:shd w:val="clear" w:color="auto" w:fill="auto"/>
            <w:noWrap/>
            <w:vAlign w:val="center"/>
          </w:tcPr>
          <w:p w14:paraId="3D1BA64A" w14:textId="4562C41D" w:rsidR="009F3BC6" w:rsidRPr="00751993" w:rsidRDefault="00153597" w:rsidP="009F3BC6">
            <w:pPr>
              <w:jc w:val="right"/>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(3,111.7)</w:t>
            </w:r>
          </w:p>
        </w:tc>
        <w:tc>
          <w:tcPr>
            <w:tcW w:w="1593" w:type="dxa"/>
            <w:tcBorders>
              <w:top w:val="nil"/>
              <w:left w:val="nil"/>
              <w:bottom w:val="single" w:sz="8" w:space="0" w:color="auto"/>
              <w:right w:val="nil"/>
            </w:tcBorders>
            <w:vAlign w:val="center"/>
          </w:tcPr>
          <w:p w14:paraId="68C743AA" w14:textId="43A36EDC" w:rsidR="009F3BC6" w:rsidRPr="00751993" w:rsidRDefault="009F3BC6" w:rsidP="009F3BC6">
            <w:pPr>
              <w:jc w:val="right"/>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3,017.7</w:t>
            </w:r>
          </w:p>
        </w:tc>
        <w:tc>
          <w:tcPr>
            <w:tcW w:w="1594" w:type="dxa"/>
            <w:tcBorders>
              <w:top w:val="nil"/>
              <w:left w:val="nil"/>
              <w:bottom w:val="single" w:sz="8" w:space="0" w:color="auto"/>
              <w:right w:val="nil"/>
            </w:tcBorders>
            <w:vAlign w:val="center"/>
          </w:tcPr>
          <w:p w14:paraId="3F7BC858" w14:textId="6F76FDB3" w:rsidR="009F3BC6" w:rsidRPr="00053DFD" w:rsidRDefault="009F3BC6" w:rsidP="009F3BC6">
            <w:pPr>
              <w:jc w:val="right"/>
              <w:rPr>
                <w:rFonts w:ascii="Arial" w:eastAsia="Times New Roman" w:hAnsi="Arial" w:cs="Arial"/>
                <w:bCs/>
                <w:color w:val="000000"/>
                <w:sz w:val="20"/>
                <w:szCs w:val="20"/>
                <w:lang w:eastAsia="en-GB"/>
              </w:rPr>
            </w:pPr>
            <w:r>
              <w:rPr>
                <w:rFonts w:ascii="Arial" w:eastAsia="Times New Roman" w:hAnsi="Arial" w:cs="Arial"/>
                <w:color w:val="000000"/>
                <w:sz w:val="20"/>
                <w:szCs w:val="20"/>
                <w:lang w:eastAsia="en-GB"/>
              </w:rPr>
              <w:t>3,461.9</w:t>
            </w:r>
          </w:p>
        </w:tc>
      </w:tr>
      <w:tr w:rsidR="009F3BC6" w:rsidRPr="00DD162A" w14:paraId="462DFE95" w14:textId="77777777" w:rsidTr="00153A3A">
        <w:trPr>
          <w:trHeight w:val="281"/>
        </w:trPr>
        <w:tc>
          <w:tcPr>
            <w:tcW w:w="4926" w:type="dxa"/>
            <w:tcBorders>
              <w:top w:val="nil"/>
              <w:left w:val="nil"/>
              <w:right w:val="nil"/>
            </w:tcBorders>
            <w:shd w:val="clear" w:color="auto" w:fill="auto"/>
            <w:noWrap/>
            <w:vAlign w:val="center"/>
            <w:hideMark/>
          </w:tcPr>
          <w:p w14:paraId="4339AA99" w14:textId="77777777" w:rsidR="009F3BC6" w:rsidRPr="00DD162A" w:rsidRDefault="009F3BC6" w:rsidP="009F3BC6">
            <w:pPr>
              <w:rPr>
                <w:rFonts w:ascii="Arial" w:eastAsia="Times New Roman" w:hAnsi="Arial" w:cs="Arial"/>
                <w:color w:val="000000"/>
                <w:sz w:val="20"/>
                <w:szCs w:val="20"/>
                <w:lang w:eastAsia="en-GB"/>
              </w:rPr>
            </w:pPr>
          </w:p>
        </w:tc>
        <w:tc>
          <w:tcPr>
            <w:tcW w:w="1593" w:type="dxa"/>
            <w:tcBorders>
              <w:top w:val="nil"/>
              <w:left w:val="nil"/>
              <w:right w:val="nil"/>
            </w:tcBorders>
            <w:shd w:val="clear" w:color="auto" w:fill="auto"/>
            <w:vAlign w:val="center"/>
          </w:tcPr>
          <w:p w14:paraId="16527917" w14:textId="5A83874F" w:rsidR="009F3BC6" w:rsidRPr="00B82B88" w:rsidRDefault="00F07110" w:rsidP="009F3BC6">
            <w:pPr>
              <w:jc w:val="right"/>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2,312.5</w:t>
            </w:r>
          </w:p>
        </w:tc>
        <w:tc>
          <w:tcPr>
            <w:tcW w:w="1593" w:type="dxa"/>
            <w:tcBorders>
              <w:top w:val="nil"/>
              <w:left w:val="nil"/>
              <w:right w:val="nil"/>
            </w:tcBorders>
            <w:vAlign w:val="center"/>
          </w:tcPr>
          <w:p w14:paraId="74FC2219" w14:textId="6FE0CD9A" w:rsidR="009F3BC6" w:rsidRPr="00B82B88" w:rsidRDefault="009F3BC6" w:rsidP="009F3BC6">
            <w:pPr>
              <w:jc w:val="right"/>
              <w:rPr>
                <w:rFonts w:ascii="Arial" w:eastAsia="Times New Roman" w:hAnsi="Arial" w:cs="Arial"/>
                <w:bCs/>
                <w:color w:val="000000"/>
                <w:sz w:val="20"/>
                <w:szCs w:val="20"/>
                <w:lang w:eastAsia="en-GB"/>
              </w:rPr>
            </w:pPr>
            <w:r w:rsidRPr="00B82B88">
              <w:rPr>
                <w:rFonts w:ascii="Arial" w:eastAsia="Times New Roman" w:hAnsi="Arial" w:cs="Arial"/>
                <w:bCs/>
                <w:color w:val="000000"/>
                <w:sz w:val="20"/>
                <w:szCs w:val="20"/>
                <w:lang w:eastAsia="en-GB"/>
              </w:rPr>
              <w:t>(13,652.8)</w:t>
            </w:r>
          </w:p>
        </w:tc>
        <w:tc>
          <w:tcPr>
            <w:tcW w:w="1594" w:type="dxa"/>
            <w:tcBorders>
              <w:top w:val="nil"/>
              <w:left w:val="nil"/>
              <w:right w:val="nil"/>
            </w:tcBorders>
            <w:vAlign w:val="center"/>
          </w:tcPr>
          <w:p w14:paraId="07B50283" w14:textId="42EFA6BA" w:rsidR="009F3BC6" w:rsidRPr="002D64D4" w:rsidRDefault="009F3BC6" w:rsidP="009F3BC6">
            <w:pPr>
              <w:jc w:val="right"/>
              <w:rPr>
                <w:rFonts w:ascii="Arial" w:eastAsia="Times New Roman" w:hAnsi="Arial" w:cs="Arial"/>
                <w:bCs/>
                <w:color w:val="000000"/>
                <w:sz w:val="20"/>
                <w:szCs w:val="20"/>
                <w:lang w:eastAsia="en-GB"/>
              </w:rPr>
            </w:pPr>
            <w:r w:rsidRPr="004F3092">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20,253.1</w:t>
            </w:r>
            <w:r w:rsidRPr="004F3092">
              <w:rPr>
                <w:rFonts w:ascii="Arial" w:eastAsia="Times New Roman" w:hAnsi="Arial" w:cs="Arial"/>
                <w:color w:val="000000"/>
                <w:sz w:val="20"/>
                <w:szCs w:val="20"/>
                <w:lang w:eastAsia="en-GB"/>
              </w:rPr>
              <w:t>)</w:t>
            </w:r>
          </w:p>
        </w:tc>
      </w:tr>
      <w:tr w:rsidR="009F3BC6" w:rsidRPr="00DD162A" w14:paraId="6E034E37" w14:textId="77777777" w:rsidTr="00153A3A">
        <w:trPr>
          <w:trHeight w:val="287"/>
        </w:trPr>
        <w:tc>
          <w:tcPr>
            <w:tcW w:w="4926" w:type="dxa"/>
            <w:tcBorders>
              <w:left w:val="nil"/>
              <w:bottom w:val="nil"/>
              <w:right w:val="nil"/>
            </w:tcBorders>
            <w:shd w:val="clear" w:color="auto" w:fill="auto"/>
            <w:noWrap/>
            <w:vAlign w:val="center"/>
          </w:tcPr>
          <w:p w14:paraId="6D8C6D4C" w14:textId="77777777" w:rsidR="009F3BC6" w:rsidRPr="00DD162A" w:rsidRDefault="009F3BC6" w:rsidP="009F3BC6">
            <w:pPr>
              <w:rPr>
                <w:rFonts w:ascii="Arial" w:eastAsia="Times New Roman" w:hAnsi="Arial" w:cs="Arial"/>
                <w:b/>
                <w:bCs/>
                <w:color w:val="000000"/>
                <w:sz w:val="20"/>
                <w:szCs w:val="20"/>
                <w:lang w:eastAsia="en-GB"/>
              </w:rPr>
            </w:pPr>
          </w:p>
        </w:tc>
        <w:tc>
          <w:tcPr>
            <w:tcW w:w="1593" w:type="dxa"/>
            <w:tcBorders>
              <w:left w:val="nil"/>
              <w:bottom w:val="single" w:sz="4" w:space="0" w:color="auto"/>
              <w:right w:val="nil"/>
            </w:tcBorders>
            <w:shd w:val="clear" w:color="auto" w:fill="auto"/>
            <w:noWrap/>
            <w:vAlign w:val="center"/>
          </w:tcPr>
          <w:p w14:paraId="3F49EE47" w14:textId="77777777" w:rsidR="009F3BC6" w:rsidRPr="00751993" w:rsidRDefault="009F3BC6" w:rsidP="009F3BC6">
            <w:pPr>
              <w:jc w:val="right"/>
              <w:rPr>
                <w:rFonts w:ascii="Arial" w:eastAsia="Times New Roman" w:hAnsi="Arial" w:cs="Arial"/>
                <w:b/>
                <w:bCs/>
                <w:color w:val="000000"/>
                <w:sz w:val="20"/>
                <w:szCs w:val="20"/>
                <w:lang w:eastAsia="en-GB"/>
              </w:rPr>
            </w:pPr>
          </w:p>
        </w:tc>
        <w:tc>
          <w:tcPr>
            <w:tcW w:w="1593" w:type="dxa"/>
            <w:tcBorders>
              <w:left w:val="nil"/>
              <w:bottom w:val="single" w:sz="4" w:space="0" w:color="auto"/>
              <w:right w:val="nil"/>
            </w:tcBorders>
            <w:vAlign w:val="center"/>
          </w:tcPr>
          <w:p w14:paraId="1246E267" w14:textId="77777777" w:rsidR="009F3BC6" w:rsidRPr="00751993" w:rsidRDefault="009F3BC6" w:rsidP="009F3BC6">
            <w:pPr>
              <w:jc w:val="right"/>
              <w:rPr>
                <w:rFonts w:ascii="Arial" w:eastAsia="Times New Roman" w:hAnsi="Arial" w:cs="Arial"/>
                <w:b/>
                <w:bCs/>
                <w:color w:val="000000"/>
                <w:sz w:val="20"/>
                <w:szCs w:val="20"/>
                <w:lang w:eastAsia="en-GB"/>
              </w:rPr>
            </w:pPr>
          </w:p>
        </w:tc>
        <w:tc>
          <w:tcPr>
            <w:tcW w:w="1594" w:type="dxa"/>
            <w:tcBorders>
              <w:left w:val="nil"/>
              <w:bottom w:val="single" w:sz="4" w:space="0" w:color="auto"/>
              <w:right w:val="nil"/>
            </w:tcBorders>
            <w:vAlign w:val="center"/>
          </w:tcPr>
          <w:p w14:paraId="44683D45" w14:textId="77777777" w:rsidR="009F3BC6" w:rsidRPr="00053DFD" w:rsidRDefault="009F3BC6" w:rsidP="009F3BC6">
            <w:pPr>
              <w:jc w:val="right"/>
              <w:rPr>
                <w:rFonts w:ascii="Arial" w:eastAsia="Times New Roman" w:hAnsi="Arial" w:cs="Arial"/>
                <w:b/>
                <w:bCs/>
                <w:color w:val="000000"/>
                <w:sz w:val="20"/>
                <w:szCs w:val="20"/>
                <w:lang w:eastAsia="en-GB"/>
              </w:rPr>
            </w:pPr>
          </w:p>
        </w:tc>
      </w:tr>
      <w:tr w:rsidR="009F3BC6" w:rsidRPr="00DD162A" w14:paraId="18746BCA" w14:textId="77777777" w:rsidTr="00153A3A">
        <w:trPr>
          <w:trHeight w:val="287"/>
        </w:trPr>
        <w:tc>
          <w:tcPr>
            <w:tcW w:w="4926" w:type="dxa"/>
            <w:tcBorders>
              <w:left w:val="nil"/>
              <w:bottom w:val="nil"/>
              <w:right w:val="nil"/>
            </w:tcBorders>
            <w:shd w:val="clear" w:color="auto" w:fill="auto"/>
            <w:noWrap/>
            <w:vAlign w:val="center"/>
          </w:tcPr>
          <w:p w14:paraId="0FDC7F22" w14:textId="77777777" w:rsidR="009F3BC6" w:rsidRPr="00DD162A" w:rsidRDefault="009F3BC6" w:rsidP="009F3BC6">
            <w:pPr>
              <w:rPr>
                <w:rFonts w:ascii="Arial" w:eastAsia="Times New Roman" w:hAnsi="Arial" w:cs="Arial"/>
                <w:color w:val="000000"/>
                <w:sz w:val="20"/>
                <w:szCs w:val="20"/>
                <w:lang w:eastAsia="en-GB"/>
              </w:rPr>
            </w:pPr>
            <w:r w:rsidRPr="00DD162A">
              <w:rPr>
                <w:rFonts w:ascii="Arial" w:eastAsia="Times New Roman" w:hAnsi="Arial" w:cs="Arial"/>
                <w:b/>
                <w:bCs/>
                <w:color w:val="000000"/>
                <w:sz w:val="20"/>
                <w:szCs w:val="20"/>
                <w:lang w:eastAsia="en-GB"/>
              </w:rPr>
              <w:t>Cash generated from operations</w:t>
            </w:r>
          </w:p>
        </w:tc>
        <w:tc>
          <w:tcPr>
            <w:tcW w:w="1593" w:type="dxa"/>
            <w:tcBorders>
              <w:top w:val="single" w:sz="4" w:space="0" w:color="auto"/>
              <w:left w:val="nil"/>
              <w:bottom w:val="nil"/>
              <w:right w:val="nil"/>
            </w:tcBorders>
            <w:shd w:val="clear" w:color="auto" w:fill="auto"/>
            <w:noWrap/>
            <w:vAlign w:val="center"/>
          </w:tcPr>
          <w:p w14:paraId="1905E53D" w14:textId="62459973" w:rsidR="009F3BC6" w:rsidRPr="008F1FCA" w:rsidRDefault="00ED014B" w:rsidP="009F3BC6">
            <w:pPr>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39,006.2</w:t>
            </w:r>
          </w:p>
        </w:tc>
        <w:tc>
          <w:tcPr>
            <w:tcW w:w="1593" w:type="dxa"/>
            <w:tcBorders>
              <w:top w:val="single" w:sz="4" w:space="0" w:color="auto"/>
              <w:left w:val="nil"/>
              <w:bottom w:val="nil"/>
              <w:right w:val="nil"/>
            </w:tcBorders>
            <w:vAlign w:val="center"/>
          </w:tcPr>
          <w:p w14:paraId="12381D3F" w14:textId="1E3C8B6D" w:rsidR="009F3BC6" w:rsidRPr="008F1FCA" w:rsidRDefault="009F3BC6" w:rsidP="009F3BC6">
            <w:pPr>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20,306.9</w:t>
            </w:r>
          </w:p>
        </w:tc>
        <w:tc>
          <w:tcPr>
            <w:tcW w:w="1594" w:type="dxa"/>
            <w:tcBorders>
              <w:top w:val="single" w:sz="4" w:space="0" w:color="auto"/>
              <w:left w:val="nil"/>
              <w:bottom w:val="nil"/>
              <w:right w:val="nil"/>
            </w:tcBorders>
            <w:vAlign w:val="center"/>
          </w:tcPr>
          <w:p w14:paraId="0DC6A353" w14:textId="581B2F94" w:rsidR="009F3BC6" w:rsidRPr="009F3BC6" w:rsidRDefault="009F3BC6" w:rsidP="009F3BC6">
            <w:pPr>
              <w:jc w:val="right"/>
              <w:rPr>
                <w:rFonts w:ascii="Arial" w:eastAsia="Times New Roman" w:hAnsi="Arial" w:cs="Arial"/>
                <w:b/>
                <w:bCs/>
                <w:color w:val="000000"/>
                <w:sz w:val="20"/>
                <w:szCs w:val="20"/>
                <w:lang w:eastAsia="en-GB"/>
              </w:rPr>
            </w:pPr>
            <w:r w:rsidRPr="009F3BC6">
              <w:rPr>
                <w:rFonts w:ascii="Arial" w:eastAsia="Times New Roman" w:hAnsi="Arial" w:cs="Arial"/>
                <w:b/>
                <w:bCs/>
                <w:color w:val="000000"/>
                <w:sz w:val="20"/>
                <w:szCs w:val="20"/>
                <w:lang w:eastAsia="en-GB"/>
              </w:rPr>
              <w:t>58,384.5</w:t>
            </w:r>
          </w:p>
        </w:tc>
      </w:tr>
      <w:tr w:rsidR="009F3BC6" w:rsidRPr="00DD162A" w14:paraId="3189F1A2" w14:textId="77777777" w:rsidTr="00153A3A">
        <w:trPr>
          <w:trHeight w:val="287"/>
        </w:trPr>
        <w:tc>
          <w:tcPr>
            <w:tcW w:w="4926" w:type="dxa"/>
            <w:tcBorders>
              <w:top w:val="nil"/>
              <w:left w:val="nil"/>
              <w:bottom w:val="nil"/>
              <w:right w:val="nil"/>
            </w:tcBorders>
            <w:shd w:val="clear" w:color="auto" w:fill="auto"/>
            <w:noWrap/>
            <w:vAlign w:val="center"/>
          </w:tcPr>
          <w:p w14:paraId="4557E68B" w14:textId="77777777" w:rsidR="009F3BC6" w:rsidRPr="00DD162A" w:rsidRDefault="009F3BC6" w:rsidP="009F3BC6">
            <w:pPr>
              <w:rPr>
                <w:rFonts w:ascii="Arial" w:eastAsia="Times New Roman" w:hAnsi="Arial" w:cs="Arial"/>
                <w:color w:val="000000"/>
                <w:sz w:val="20"/>
                <w:szCs w:val="20"/>
                <w:lang w:eastAsia="en-GB"/>
              </w:rPr>
            </w:pPr>
          </w:p>
        </w:tc>
        <w:tc>
          <w:tcPr>
            <w:tcW w:w="1593" w:type="dxa"/>
            <w:tcBorders>
              <w:top w:val="nil"/>
              <w:left w:val="nil"/>
              <w:bottom w:val="nil"/>
              <w:right w:val="nil"/>
            </w:tcBorders>
            <w:shd w:val="clear" w:color="auto" w:fill="auto"/>
            <w:noWrap/>
            <w:vAlign w:val="center"/>
          </w:tcPr>
          <w:p w14:paraId="58344B3F" w14:textId="77777777" w:rsidR="009F3BC6" w:rsidRPr="00751993" w:rsidRDefault="009F3BC6" w:rsidP="009F3BC6">
            <w:pPr>
              <w:jc w:val="right"/>
              <w:rPr>
                <w:rFonts w:ascii="Arial" w:eastAsia="Times New Roman" w:hAnsi="Arial" w:cs="Arial"/>
                <w:b/>
                <w:bCs/>
                <w:color w:val="000000"/>
                <w:sz w:val="20"/>
                <w:szCs w:val="20"/>
                <w:lang w:eastAsia="en-GB"/>
              </w:rPr>
            </w:pPr>
          </w:p>
        </w:tc>
        <w:tc>
          <w:tcPr>
            <w:tcW w:w="1593" w:type="dxa"/>
            <w:tcBorders>
              <w:top w:val="nil"/>
              <w:left w:val="nil"/>
              <w:bottom w:val="nil"/>
              <w:right w:val="nil"/>
            </w:tcBorders>
            <w:vAlign w:val="center"/>
          </w:tcPr>
          <w:p w14:paraId="6937872D" w14:textId="77777777" w:rsidR="009F3BC6" w:rsidRPr="00751993" w:rsidRDefault="009F3BC6" w:rsidP="009F3BC6">
            <w:pPr>
              <w:jc w:val="right"/>
              <w:rPr>
                <w:rFonts w:ascii="Arial" w:eastAsia="Times New Roman" w:hAnsi="Arial" w:cs="Arial"/>
                <w:b/>
                <w:bCs/>
                <w:color w:val="000000"/>
                <w:sz w:val="20"/>
                <w:szCs w:val="20"/>
                <w:lang w:eastAsia="en-GB"/>
              </w:rPr>
            </w:pPr>
          </w:p>
        </w:tc>
        <w:tc>
          <w:tcPr>
            <w:tcW w:w="1594" w:type="dxa"/>
            <w:tcBorders>
              <w:top w:val="nil"/>
              <w:left w:val="nil"/>
              <w:bottom w:val="nil"/>
              <w:right w:val="nil"/>
            </w:tcBorders>
            <w:vAlign w:val="center"/>
          </w:tcPr>
          <w:p w14:paraId="1249BAA4" w14:textId="77777777" w:rsidR="009F3BC6" w:rsidRPr="00053DFD" w:rsidRDefault="009F3BC6" w:rsidP="009F3BC6">
            <w:pPr>
              <w:jc w:val="right"/>
              <w:rPr>
                <w:rFonts w:ascii="Arial" w:eastAsia="Times New Roman" w:hAnsi="Arial" w:cs="Arial"/>
                <w:b/>
                <w:bCs/>
                <w:color w:val="000000"/>
                <w:sz w:val="20"/>
                <w:szCs w:val="20"/>
                <w:lang w:eastAsia="en-GB"/>
              </w:rPr>
            </w:pPr>
          </w:p>
        </w:tc>
      </w:tr>
      <w:tr w:rsidR="009F3BC6" w:rsidRPr="004104CA" w14:paraId="4DE9FF48" w14:textId="77777777" w:rsidTr="00153A3A">
        <w:trPr>
          <w:trHeight w:val="281"/>
        </w:trPr>
        <w:tc>
          <w:tcPr>
            <w:tcW w:w="4926" w:type="dxa"/>
            <w:tcBorders>
              <w:top w:val="nil"/>
              <w:left w:val="nil"/>
              <w:bottom w:val="nil"/>
              <w:right w:val="nil"/>
            </w:tcBorders>
            <w:shd w:val="clear" w:color="auto" w:fill="auto"/>
            <w:noWrap/>
            <w:vAlign w:val="center"/>
            <w:hideMark/>
          </w:tcPr>
          <w:p w14:paraId="14079558" w14:textId="77777777" w:rsidR="009F3BC6" w:rsidRPr="00DD162A" w:rsidRDefault="009F3BC6" w:rsidP="009F3BC6">
            <w:pPr>
              <w:rPr>
                <w:rFonts w:ascii="Arial" w:eastAsia="Times New Roman" w:hAnsi="Arial" w:cs="Arial"/>
                <w:b/>
                <w:bCs/>
                <w:color w:val="000000"/>
                <w:sz w:val="20"/>
                <w:szCs w:val="20"/>
                <w:lang w:eastAsia="en-GB"/>
              </w:rPr>
            </w:pPr>
            <w:r w:rsidRPr="00DD162A">
              <w:rPr>
                <w:rFonts w:ascii="Arial" w:eastAsia="Times New Roman" w:hAnsi="Arial" w:cs="Arial"/>
                <w:color w:val="000000"/>
                <w:sz w:val="20"/>
                <w:szCs w:val="20"/>
                <w:lang w:eastAsia="en-GB"/>
              </w:rPr>
              <w:t>Income taxes</w:t>
            </w:r>
            <w:r>
              <w:rPr>
                <w:rFonts w:ascii="Arial" w:eastAsia="Times New Roman" w:hAnsi="Arial" w:cs="Arial"/>
                <w:color w:val="000000"/>
                <w:sz w:val="20"/>
                <w:szCs w:val="20"/>
                <w:lang w:eastAsia="en-GB"/>
              </w:rPr>
              <w:t xml:space="preserve"> </w:t>
            </w:r>
            <w:r w:rsidRPr="00DD162A">
              <w:rPr>
                <w:rFonts w:ascii="Arial" w:eastAsia="Times New Roman" w:hAnsi="Arial" w:cs="Arial"/>
                <w:color w:val="000000"/>
                <w:sz w:val="20"/>
                <w:szCs w:val="20"/>
                <w:lang w:eastAsia="en-GB"/>
              </w:rPr>
              <w:t>paid</w:t>
            </w:r>
          </w:p>
        </w:tc>
        <w:tc>
          <w:tcPr>
            <w:tcW w:w="1593" w:type="dxa"/>
            <w:tcBorders>
              <w:top w:val="nil"/>
              <w:left w:val="nil"/>
              <w:bottom w:val="single" w:sz="8" w:space="0" w:color="auto"/>
              <w:right w:val="nil"/>
            </w:tcBorders>
            <w:shd w:val="clear" w:color="auto" w:fill="auto"/>
            <w:vAlign w:val="center"/>
          </w:tcPr>
          <w:p w14:paraId="01F8FB02" w14:textId="6667B637" w:rsidR="009F3BC6" w:rsidRPr="00751993" w:rsidRDefault="00A56F78" w:rsidP="009F3BC6">
            <w:pPr>
              <w:jc w:val="right"/>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(3,709.8)</w:t>
            </w:r>
          </w:p>
        </w:tc>
        <w:tc>
          <w:tcPr>
            <w:tcW w:w="1593" w:type="dxa"/>
            <w:tcBorders>
              <w:top w:val="nil"/>
              <w:left w:val="nil"/>
              <w:bottom w:val="single" w:sz="8" w:space="0" w:color="auto"/>
              <w:right w:val="nil"/>
            </w:tcBorders>
            <w:vAlign w:val="center"/>
          </w:tcPr>
          <w:p w14:paraId="47C22B61" w14:textId="13BD9F74" w:rsidR="009F3BC6" w:rsidRPr="00751993" w:rsidRDefault="009F3BC6" w:rsidP="009F3BC6">
            <w:pPr>
              <w:jc w:val="right"/>
              <w:rPr>
                <w:rFonts w:ascii="Arial" w:eastAsia="Times New Roman" w:hAnsi="Arial" w:cs="Arial"/>
                <w:bCs/>
                <w:color w:val="000000"/>
                <w:sz w:val="20"/>
                <w:szCs w:val="20"/>
                <w:lang w:eastAsia="en-GB"/>
              </w:rPr>
            </w:pPr>
            <w:r w:rsidRPr="00751993">
              <w:rPr>
                <w:rFonts w:ascii="Arial" w:eastAsia="Times New Roman" w:hAnsi="Arial" w:cs="Arial"/>
                <w:bCs/>
                <w:color w:val="000000"/>
                <w:sz w:val="20"/>
                <w:szCs w:val="20"/>
                <w:lang w:eastAsia="en-GB"/>
              </w:rPr>
              <w:t>(</w:t>
            </w:r>
            <w:r>
              <w:rPr>
                <w:rFonts w:ascii="Arial" w:eastAsia="Times New Roman" w:hAnsi="Arial" w:cs="Arial"/>
                <w:bCs/>
                <w:color w:val="000000"/>
                <w:sz w:val="20"/>
                <w:szCs w:val="20"/>
                <w:lang w:eastAsia="en-GB"/>
              </w:rPr>
              <w:t>5,874.8</w:t>
            </w:r>
            <w:r w:rsidRPr="00751993">
              <w:rPr>
                <w:rFonts w:ascii="Arial" w:eastAsia="Times New Roman" w:hAnsi="Arial" w:cs="Arial"/>
                <w:bCs/>
                <w:color w:val="000000"/>
                <w:sz w:val="20"/>
                <w:szCs w:val="20"/>
                <w:lang w:eastAsia="en-GB"/>
              </w:rPr>
              <w:t>)</w:t>
            </w:r>
          </w:p>
        </w:tc>
        <w:tc>
          <w:tcPr>
            <w:tcW w:w="1594" w:type="dxa"/>
            <w:tcBorders>
              <w:top w:val="nil"/>
              <w:left w:val="nil"/>
              <w:bottom w:val="single" w:sz="8" w:space="0" w:color="auto"/>
              <w:right w:val="nil"/>
            </w:tcBorders>
            <w:vAlign w:val="center"/>
          </w:tcPr>
          <w:p w14:paraId="7F071628" w14:textId="49E284ED" w:rsidR="009F3BC6" w:rsidRPr="004104CA" w:rsidRDefault="009F3BC6" w:rsidP="009F3BC6">
            <w:pPr>
              <w:jc w:val="right"/>
              <w:rPr>
                <w:rFonts w:ascii="Arial" w:eastAsia="Times New Roman" w:hAnsi="Arial" w:cs="Arial"/>
                <w:bCs/>
                <w:color w:val="000000"/>
                <w:sz w:val="20"/>
                <w:szCs w:val="20"/>
                <w:lang w:eastAsia="en-GB"/>
              </w:rPr>
            </w:pPr>
            <w:r w:rsidRPr="004F3092">
              <w:rPr>
                <w:rFonts w:ascii="Arial" w:eastAsia="Times New Roman" w:hAnsi="Arial" w:cs="Arial"/>
                <w:color w:val="000000"/>
                <w:sz w:val="20"/>
                <w:szCs w:val="20"/>
                <w:lang w:eastAsia="en-GB"/>
              </w:rPr>
              <w:t>(12,744.1)</w:t>
            </w:r>
          </w:p>
        </w:tc>
      </w:tr>
      <w:tr w:rsidR="009F3BC6" w:rsidRPr="00DD162A" w14:paraId="7C92B93C" w14:textId="77777777" w:rsidTr="00153A3A">
        <w:trPr>
          <w:trHeight w:val="281"/>
        </w:trPr>
        <w:tc>
          <w:tcPr>
            <w:tcW w:w="4926" w:type="dxa"/>
            <w:tcBorders>
              <w:top w:val="nil"/>
              <w:left w:val="nil"/>
              <w:bottom w:val="nil"/>
              <w:right w:val="nil"/>
            </w:tcBorders>
            <w:shd w:val="clear" w:color="auto" w:fill="auto"/>
            <w:noWrap/>
            <w:vAlign w:val="center"/>
            <w:hideMark/>
          </w:tcPr>
          <w:p w14:paraId="24F345A6" w14:textId="77777777" w:rsidR="009F3BC6" w:rsidRPr="00DD162A" w:rsidRDefault="009F3BC6" w:rsidP="009F3BC6">
            <w:pPr>
              <w:rPr>
                <w:rFonts w:ascii="Arial" w:eastAsia="Times New Roman" w:hAnsi="Arial" w:cs="Arial"/>
                <w:b/>
                <w:bCs/>
                <w:color w:val="000000"/>
                <w:sz w:val="20"/>
                <w:szCs w:val="20"/>
                <w:lang w:eastAsia="en-GB"/>
              </w:rPr>
            </w:pPr>
          </w:p>
        </w:tc>
        <w:tc>
          <w:tcPr>
            <w:tcW w:w="1593" w:type="dxa"/>
            <w:tcBorders>
              <w:top w:val="nil"/>
              <w:left w:val="nil"/>
              <w:bottom w:val="nil"/>
              <w:right w:val="nil"/>
            </w:tcBorders>
            <w:shd w:val="clear" w:color="auto" w:fill="auto"/>
            <w:noWrap/>
            <w:vAlign w:val="center"/>
          </w:tcPr>
          <w:p w14:paraId="23C3B8A3" w14:textId="77777777" w:rsidR="009F3BC6" w:rsidRPr="00751993" w:rsidRDefault="009F3BC6" w:rsidP="009F3BC6">
            <w:pPr>
              <w:jc w:val="right"/>
              <w:rPr>
                <w:rFonts w:ascii="Arial" w:eastAsia="Times New Roman" w:hAnsi="Arial" w:cs="Arial"/>
                <w:b/>
                <w:bCs/>
                <w:color w:val="000000"/>
                <w:sz w:val="20"/>
                <w:szCs w:val="20"/>
                <w:lang w:eastAsia="en-GB"/>
              </w:rPr>
            </w:pPr>
          </w:p>
        </w:tc>
        <w:tc>
          <w:tcPr>
            <w:tcW w:w="1593" w:type="dxa"/>
            <w:tcBorders>
              <w:top w:val="nil"/>
              <w:left w:val="nil"/>
              <w:bottom w:val="nil"/>
              <w:right w:val="nil"/>
            </w:tcBorders>
            <w:vAlign w:val="center"/>
          </w:tcPr>
          <w:p w14:paraId="268F1C0F" w14:textId="77777777" w:rsidR="009F3BC6" w:rsidRPr="00751993" w:rsidRDefault="009F3BC6" w:rsidP="009F3BC6">
            <w:pPr>
              <w:jc w:val="right"/>
              <w:rPr>
                <w:rFonts w:ascii="Arial" w:eastAsia="Times New Roman" w:hAnsi="Arial" w:cs="Arial"/>
                <w:b/>
                <w:bCs/>
                <w:color w:val="000000"/>
                <w:sz w:val="20"/>
                <w:szCs w:val="20"/>
                <w:lang w:eastAsia="en-GB"/>
              </w:rPr>
            </w:pPr>
          </w:p>
        </w:tc>
        <w:tc>
          <w:tcPr>
            <w:tcW w:w="1594" w:type="dxa"/>
            <w:tcBorders>
              <w:top w:val="nil"/>
              <w:left w:val="nil"/>
              <w:bottom w:val="nil"/>
              <w:right w:val="nil"/>
            </w:tcBorders>
            <w:vAlign w:val="center"/>
          </w:tcPr>
          <w:p w14:paraId="5B3432EE" w14:textId="77777777" w:rsidR="009F3BC6" w:rsidRPr="00053DFD" w:rsidRDefault="009F3BC6" w:rsidP="009F3BC6">
            <w:pPr>
              <w:jc w:val="right"/>
              <w:rPr>
                <w:rFonts w:ascii="Arial" w:eastAsia="Times New Roman" w:hAnsi="Arial" w:cs="Arial"/>
                <w:b/>
                <w:bCs/>
                <w:color w:val="000000"/>
                <w:sz w:val="20"/>
                <w:szCs w:val="20"/>
                <w:lang w:eastAsia="en-GB"/>
              </w:rPr>
            </w:pPr>
          </w:p>
        </w:tc>
      </w:tr>
      <w:tr w:rsidR="009F3BC6" w:rsidRPr="00DD162A" w14:paraId="38D006A2" w14:textId="77777777" w:rsidTr="00153A3A">
        <w:trPr>
          <w:trHeight w:val="287"/>
        </w:trPr>
        <w:tc>
          <w:tcPr>
            <w:tcW w:w="4926" w:type="dxa"/>
            <w:tcBorders>
              <w:top w:val="nil"/>
              <w:left w:val="nil"/>
              <w:bottom w:val="nil"/>
              <w:right w:val="nil"/>
            </w:tcBorders>
            <w:shd w:val="clear" w:color="auto" w:fill="auto"/>
            <w:noWrap/>
            <w:vAlign w:val="center"/>
            <w:hideMark/>
          </w:tcPr>
          <w:p w14:paraId="23D93EC4" w14:textId="77777777" w:rsidR="009F3BC6" w:rsidRPr="00DD162A" w:rsidRDefault="009F3BC6" w:rsidP="009F3BC6">
            <w:pPr>
              <w:rPr>
                <w:rFonts w:ascii="Arial" w:eastAsia="Times New Roman" w:hAnsi="Arial" w:cs="Arial"/>
                <w:color w:val="000000"/>
                <w:sz w:val="20"/>
                <w:szCs w:val="20"/>
                <w:lang w:eastAsia="en-GB"/>
              </w:rPr>
            </w:pPr>
            <w:r w:rsidRPr="00DD162A">
              <w:rPr>
                <w:rFonts w:ascii="Arial" w:eastAsia="Times New Roman" w:hAnsi="Arial" w:cs="Arial"/>
                <w:b/>
                <w:bCs/>
                <w:color w:val="000000"/>
                <w:sz w:val="20"/>
                <w:szCs w:val="20"/>
                <w:lang w:eastAsia="en-GB"/>
              </w:rPr>
              <w:t>Net cash flows from operating activities</w:t>
            </w:r>
          </w:p>
        </w:tc>
        <w:tc>
          <w:tcPr>
            <w:tcW w:w="1593" w:type="dxa"/>
            <w:tcBorders>
              <w:top w:val="nil"/>
              <w:left w:val="nil"/>
              <w:bottom w:val="single" w:sz="8" w:space="0" w:color="auto"/>
              <w:right w:val="nil"/>
            </w:tcBorders>
            <w:shd w:val="clear" w:color="auto" w:fill="auto"/>
            <w:noWrap/>
            <w:vAlign w:val="center"/>
          </w:tcPr>
          <w:p w14:paraId="6049A45E" w14:textId="6F6D396E" w:rsidR="009F3BC6" w:rsidRPr="00751993" w:rsidRDefault="00ED014B" w:rsidP="009F3BC6">
            <w:pPr>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35,296.4</w:t>
            </w:r>
          </w:p>
        </w:tc>
        <w:tc>
          <w:tcPr>
            <w:tcW w:w="1593" w:type="dxa"/>
            <w:tcBorders>
              <w:top w:val="nil"/>
              <w:left w:val="nil"/>
              <w:bottom w:val="single" w:sz="8" w:space="0" w:color="auto"/>
              <w:right w:val="nil"/>
            </w:tcBorders>
            <w:vAlign w:val="center"/>
          </w:tcPr>
          <w:p w14:paraId="043388B6" w14:textId="6C9AEA39" w:rsidR="009F3BC6" w:rsidRPr="00751993" w:rsidRDefault="009F3BC6" w:rsidP="009F3BC6">
            <w:pPr>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14,432.1</w:t>
            </w:r>
          </w:p>
        </w:tc>
        <w:tc>
          <w:tcPr>
            <w:tcW w:w="1594" w:type="dxa"/>
            <w:tcBorders>
              <w:top w:val="nil"/>
              <w:left w:val="nil"/>
              <w:bottom w:val="single" w:sz="8" w:space="0" w:color="auto"/>
              <w:right w:val="nil"/>
            </w:tcBorders>
            <w:vAlign w:val="center"/>
          </w:tcPr>
          <w:p w14:paraId="48106A6F" w14:textId="46F94940" w:rsidR="009F3BC6" w:rsidRPr="009F3BC6" w:rsidRDefault="009F3BC6" w:rsidP="009F3BC6">
            <w:pPr>
              <w:jc w:val="right"/>
              <w:rPr>
                <w:rFonts w:ascii="Arial" w:eastAsia="Times New Roman" w:hAnsi="Arial" w:cs="Arial"/>
                <w:b/>
                <w:color w:val="000000"/>
                <w:sz w:val="20"/>
                <w:szCs w:val="20"/>
                <w:lang w:eastAsia="en-GB"/>
              </w:rPr>
            </w:pPr>
            <w:r w:rsidRPr="009F3BC6">
              <w:rPr>
                <w:rFonts w:ascii="Arial" w:eastAsia="Times New Roman" w:hAnsi="Arial" w:cs="Arial"/>
                <w:b/>
                <w:color w:val="000000"/>
                <w:sz w:val="20"/>
                <w:szCs w:val="20"/>
                <w:lang w:eastAsia="en-GB"/>
              </w:rPr>
              <w:t>45,640.4</w:t>
            </w:r>
          </w:p>
        </w:tc>
      </w:tr>
      <w:tr w:rsidR="009F3BC6" w:rsidRPr="00DD162A" w14:paraId="1440A251" w14:textId="77777777" w:rsidTr="00153A3A">
        <w:trPr>
          <w:trHeight w:val="281"/>
        </w:trPr>
        <w:tc>
          <w:tcPr>
            <w:tcW w:w="4926" w:type="dxa"/>
            <w:tcBorders>
              <w:top w:val="nil"/>
              <w:left w:val="nil"/>
              <w:bottom w:val="nil"/>
              <w:right w:val="nil"/>
            </w:tcBorders>
            <w:shd w:val="clear" w:color="auto" w:fill="auto"/>
            <w:noWrap/>
            <w:vAlign w:val="center"/>
            <w:hideMark/>
          </w:tcPr>
          <w:p w14:paraId="1F9B3451" w14:textId="77777777" w:rsidR="009F3BC6" w:rsidRPr="00DD162A" w:rsidRDefault="009F3BC6" w:rsidP="009F3BC6">
            <w:pPr>
              <w:rPr>
                <w:rFonts w:ascii="Arial" w:eastAsia="Times New Roman" w:hAnsi="Arial" w:cs="Arial"/>
                <w:color w:val="000000"/>
                <w:sz w:val="20"/>
                <w:szCs w:val="20"/>
                <w:lang w:eastAsia="en-GB"/>
              </w:rPr>
            </w:pPr>
          </w:p>
        </w:tc>
        <w:tc>
          <w:tcPr>
            <w:tcW w:w="1593" w:type="dxa"/>
            <w:tcBorders>
              <w:top w:val="nil"/>
              <w:left w:val="nil"/>
              <w:bottom w:val="nil"/>
              <w:right w:val="nil"/>
            </w:tcBorders>
            <w:shd w:val="clear" w:color="auto" w:fill="auto"/>
            <w:noWrap/>
            <w:vAlign w:val="center"/>
          </w:tcPr>
          <w:p w14:paraId="2032DB7F" w14:textId="77777777" w:rsidR="009F3BC6" w:rsidRPr="00751993" w:rsidRDefault="009F3BC6" w:rsidP="009F3BC6">
            <w:pPr>
              <w:jc w:val="right"/>
              <w:rPr>
                <w:rFonts w:ascii="Arial" w:eastAsia="Times New Roman" w:hAnsi="Arial" w:cs="Arial"/>
                <w:b/>
                <w:bCs/>
                <w:color w:val="000000"/>
                <w:sz w:val="20"/>
                <w:szCs w:val="20"/>
                <w:lang w:eastAsia="en-GB"/>
              </w:rPr>
            </w:pPr>
          </w:p>
        </w:tc>
        <w:tc>
          <w:tcPr>
            <w:tcW w:w="1593" w:type="dxa"/>
            <w:tcBorders>
              <w:top w:val="nil"/>
              <w:left w:val="nil"/>
              <w:bottom w:val="nil"/>
              <w:right w:val="nil"/>
            </w:tcBorders>
            <w:vAlign w:val="center"/>
          </w:tcPr>
          <w:p w14:paraId="5A1B6955" w14:textId="77777777" w:rsidR="009F3BC6" w:rsidRPr="00751993" w:rsidRDefault="009F3BC6" w:rsidP="009F3BC6">
            <w:pPr>
              <w:jc w:val="right"/>
              <w:rPr>
                <w:rFonts w:ascii="Arial" w:eastAsia="Times New Roman" w:hAnsi="Arial" w:cs="Arial"/>
                <w:b/>
                <w:bCs/>
                <w:color w:val="000000"/>
                <w:sz w:val="20"/>
                <w:szCs w:val="20"/>
                <w:lang w:eastAsia="en-GB"/>
              </w:rPr>
            </w:pPr>
          </w:p>
        </w:tc>
        <w:tc>
          <w:tcPr>
            <w:tcW w:w="1594" w:type="dxa"/>
            <w:tcBorders>
              <w:top w:val="nil"/>
              <w:left w:val="nil"/>
              <w:bottom w:val="nil"/>
              <w:right w:val="nil"/>
            </w:tcBorders>
            <w:vAlign w:val="center"/>
          </w:tcPr>
          <w:p w14:paraId="68A4C5AE" w14:textId="77777777" w:rsidR="009F3BC6" w:rsidRPr="00053DFD" w:rsidRDefault="009F3BC6" w:rsidP="009F3BC6">
            <w:pPr>
              <w:jc w:val="right"/>
              <w:rPr>
                <w:rFonts w:ascii="Arial" w:eastAsia="Times New Roman" w:hAnsi="Arial" w:cs="Arial"/>
                <w:b/>
                <w:bCs/>
                <w:color w:val="000000"/>
                <w:sz w:val="20"/>
                <w:szCs w:val="20"/>
                <w:lang w:eastAsia="en-GB"/>
              </w:rPr>
            </w:pPr>
          </w:p>
        </w:tc>
      </w:tr>
      <w:tr w:rsidR="009F3BC6" w:rsidRPr="00DD162A" w14:paraId="54CEB1C2" w14:textId="77777777" w:rsidTr="00153A3A">
        <w:trPr>
          <w:trHeight w:val="85"/>
        </w:trPr>
        <w:tc>
          <w:tcPr>
            <w:tcW w:w="4926" w:type="dxa"/>
            <w:tcBorders>
              <w:top w:val="nil"/>
              <w:left w:val="nil"/>
              <w:bottom w:val="nil"/>
              <w:right w:val="nil"/>
            </w:tcBorders>
            <w:shd w:val="clear" w:color="auto" w:fill="auto"/>
            <w:noWrap/>
            <w:vAlign w:val="center"/>
            <w:hideMark/>
          </w:tcPr>
          <w:p w14:paraId="0E9FCBCE" w14:textId="77777777" w:rsidR="009F3BC6" w:rsidRPr="00DD162A" w:rsidRDefault="009F3BC6" w:rsidP="009F3BC6">
            <w:pPr>
              <w:rPr>
                <w:rFonts w:ascii="Arial" w:eastAsia="Times New Roman" w:hAnsi="Arial" w:cs="Arial"/>
                <w:b/>
                <w:bCs/>
                <w:color w:val="000000"/>
                <w:sz w:val="20"/>
                <w:szCs w:val="20"/>
                <w:lang w:eastAsia="en-GB"/>
              </w:rPr>
            </w:pPr>
            <w:r w:rsidRPr="00DD162A">
              <w:rPr>
                <w:rFonts w:ascii="Arial" w:eastAsia="Times New Roman" w:hAnsi="Arial" w:cs="Arial"/>
                <w:b/>
                <w:bCs/>
                <w:color w:val="000000"/>
                <w:sz w:val="20"/>
                <w:szCs w:val="20"/>
                <w:lang w:eastAsia="en-GB"/>
              </w:rPr>
              <w:t>Investing activities</w:t>
            </w:r>
          </w:p>
        </w:tc>
        <w:tc>
          <w:tcPr>
            <w:tcW w:w="1593" w:type="dxa"/>
            <w:tcBorders>
              <w:top w:val="nil"/>
              <w:left w:val="nil"/>
              <w:right w:val="nil"/>
            </w:tcBorders>
            <w:shd w:val="clear" w:color="auto" w:fill="auto"/>
            <w:vAlign w:val="center"/>
          </w:tcPr>
          <w:p w14:paraId="235A512A" w14:textId="77777777" w:rsidR="009F3BC6" w:rsidRPr="00751993" w:rsidRDefault="009F3BC6" w:rsidP="009F3BC6">
            <w:pPr>
              <w:jc w:val="right"/>
              <w:rPr>
                <w:rFonts w:ascii="Arial" w:eastAsia="Times New Roman" w:hAnsi="Arial" w:cs="Arial"/>
                <w:bCs/>
                <w:color w:val="000000"/>
                <w:sz w:val="20"/>
                <w:szCs w:val="20"/>
                <w:lang w:eastAsia="en-GB"/>
              </w:rPr>
            </w:pPr>
          </w:p>
        </w:tc>
        <w:tc>
          <w:tcPr>
            <w:tcW w:w="1593" w:type="dxa"/>
            <w:tcBorders>
              <w:top w:val="nil"/>
              <w:left w:val="nil"/>
              <w:right w:val="nil"/>
            </w:tcBorders>
            <w:vAlign w:val="center"/>
          </w:tcPr>
          <w:p w14:paraId="5AE87BFE" w14:textId="77777777" w:rsidR="009F3BC6" w:rsidRPr="00751993" w:rsidRDefault="009F3BC6" w:rsidP="009F3BC6">
            <w:pPr>
              <w:jc w:val="right"/>
              <w:rPr>
                <w:rFonts w:ascii="Arial" w:eastAsia="Times New Roman" w:hAnsi="Arial" w:cs="Arial"/>
                <w:bCs/>
                <w:color w:val="000000"/>
                <w:sz w:val="20"/>
                <w:szCs w:val="20"/>
                <w:lang w:eastAsia="en-GB"/>
              </w:rPr>
            </w:pPr>
          </w:p>
        </w:tc>
        <w:tc>
          <w:tcPr>
            <w:tcW w:w="1594" w:type="dxa"/>
            <w:tcBorders>
              <w:top w:val="nil"/>
              <w:left w:val="nil"/>
              <w:right w:val="nil"/>
            </w:tcBorders>
            <w:vAlign w:val="center"/>
          </w:tcPr>
          <w:p w14:paraId="23E9A0E8" w14:textId="77777777" w:rsidR="009F3BC6" w:rsidRPr="00053DFD" w:rsidRDefault="009F3BC6" w:rsidP="009F3BC6">
            <w:pPr>
              <w:jc w:val="right"/>
              <w:rPr>
                <w:rFonts w:ascii="Arial" w:eastAsia="Times New Roman" w:hAnsi="Arial" w:cs="Arial"/>
                <w:b/>
                <w:bCs/>
                <w:color w:val="000000"/>
                <w:sz w:val="20"/>
                <w:szCs w:val="20"/>
                <w:lang w:eastAsia="en-GB"/>
              </w:rPr>
            </w:pPr>
          </w:p>
        </w:tc>
      </w:tr>
      <w:tr w:rsidR="009F3BC6" w:rsidRPr="00053DFD" w14:paraId="228C7C04" w14:textId="77777777" w:rsidTr="00153A3A">
        <w:trPr>
          <w:trHeight w:val="132"/>
        </w:trPr>
        <w:tc>
          <w:tcPr>
            <w:tcW w:w="4926" w:type="dxa"/>
            <w:tcBorders>
              <w:top w:val="nil"/>
              <w:left w:val="nil"/>
              <w:bottom w:val="nil"/>
              <w:right w:val="nil"/>
            </w:tcBorders>
            <w:shd w:val="clear" w:color="auto" w:fill="auto"/>
            <w:noWrap/>
            <w:vAlign w:val="center"/>
            <w:hideMark/>
          </w:tcPr>
          <w:p w14:paraId="18863246" w14:textId="77777777" w:rsidR="009F3BC6" w:rsidRPr="00DD162A" w:rsidRDefault="009F3BC6" w:rsidP="009F3BC6">
            <w:pPr>
              <w:rPr>
                <w:rFonts w:ascii="Arial" w:eastAsia="Times New Roman" w:hAnsi="Arial" w:cs="Arial"/>
                <w:b/>
                <w:bCs/>
                <w:color w:val="000000"/>
                <w:sz w:val="20"/>
                <w:szCs w:val="20"/>
                <w:lang w:eastAsia="en-GB"/>
              </w:rPr>
            </w:pPr>
            <w:r w:rsidRPr="00DD162A">
              <w:rPr>
                <w:rFonts w:ascii="Arial" w:eastAsia="Times New Roman" w:hAnsi="Arial" w:cs="Arial"/>
                <w:color w:val="000000"/>
                <w:sz w:val="20"/>
                <w:szCs w:val="20"/>
                <w:lang w:eastAsia="en-GB"/>
              </w:rPr>
              <w:t>Purchase of property, plant and equipment</w:t>
            </w:r>
          </w:p>
        </w:tc>
        <w:tc>
          <w:tcPr>
            <w:tcW w:w="1593" w:type="dxa"/>
            <w:tcBorders>
              <w:top w:val="nil"/>
              <w:left w:val="nil"/>
              <w:right w:val="nil"/>
            </w:tcBorders>
            <w:shd w:val="clear" w:color="auto" w:fill="auto"/>
            <w:noWrap/>
            <w:vAlign w:val="center"/>
          </w:tcPr>
          <w:p w14:paraId="6F437640" w14:textId="5087D547" w:rsidR="009F3BC6" w:rsidRPr="00751993" w:rsidRDefault="00A56F78" w:rsidP="009F3BC6">
            <w:pPr>
              <w:jc w:val="right"/>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(701.4)</w:t>
            </w:r>
          </w:p>
        </w:tc>
        <w:tc>
          <w:tcPr>
            <w:tcW w:w="1593" w:type="dxa"/>
            <w:tcBorders>
              <w:top w:val="nil"/>
              <w:left w:val="nil"/>
              <w:right w:val="nil"/>
            </w:tcBorders>
            <w:vAlign w:val="center"/>
          </w:tcPr>
          <w:p w14:paraId="0A1C78C1" w14:textId="0E1878AF" w:rsidR="009F3BC6" w:rsidRPr="00751993" w:rsidRDefault="009F3BC6" w:rsidP="009F3BC6">
            <w:pPr>
              <w:jc w:val="right"/>
              <w:rPr>
                <w:rFonts w:ascii="Arial" w:eastAsia="Times New Roman" w:hAnsi="Arial" w:cs="Arial"/>
                <w:bCs/>
                <w:color w:val="000000"/>
                <w:sz w:val="20"/>
                <w:szCs w:val="20"/>
                <w:lang w:eastAsia="en-GB"/>
              </w:rPr>
            </w:pPr>
            <w:r w:rsidRPr="00751993">
              <w:rPr>
                <w:rFonts w:ascii="Arial" w:eastAsia="Times New Roman" w:hAnsi="Arial" w:cs="Arial"/>
                <w:bCs/>
                <w:color w:val="000000"/>
                <w:sz w:val="20"/>
                <w:szCs w:val="20"/>
                <w:lang w:eastAsia="en-GB"/>
              </w:rPr>
              <w:t>(</w:t>
            </w:r>
            <w:r>
              <w:rPr>
                <w:rFonts w:ascii="Arial" w:eastAsia="Times New Roman" w:hAnsi="Arial" w:cs="Arial"/>
                <w:bCs/>
                <w:color w:val="000000"/>
                <w:sz w:val="20"/>
                <w:szCs w:val="20"/>
                <w:lang w:eastAsia="en-GB"/>
              </w:rPr>
              <w:t>314.2</w:t>
            </w:r>
            <w:r w:rsidRPr="00751993">
              <w:rPr>
                <w:rFonts w:ascii="Arial" w:eastAsia="Times New Roman" w:hAnsi="Arial" w:cs="Arial"/>
                <w:bCs/>
                <w:color w:val="000000"/>
                <w:sz w:val="20"/>
                <w:szCs w:val="20"/>
                <w:lang w:eastAsia="en-GB"/>
              </w:rPr>
              <w:t xml:space="preserve">) </w:t>
            </w:r>
          </w:p>
        </w:tc>
        <w:tc>
          <w:tcPr>
            <w:tcW w:w="1594" w:type="dxa"/>
            <w:tcBorders>
              <w:top w:val="nil"/>
              <w:left w:val="nil"/>
              <w:right w:val="nil"/>
            </w:tcBorders>
            <w:vAlign w:val="center"/>
          </w:tcPr>
          <w:p w14:paraId="01512F34" w14:textId="0BF7F4F8" w:rsidR="009F3BC6" w:rsidRPr="00053DFD" w:rsidRDefault="009F3BC6" w:rsidP="009F3BC6">
            <w:pPr>
              <w:jc w:val="right"/>
              <w:rPr>
                <w:rFonts w:ascii="Arial" w:eastAsia="Times New Roman" w:hAnsi="Arial" w:cs="Arial"/>
                <w:bCs/>
                <w:color w:val="000000"/>
                <w:sz w:val="20"/>
                <w:szCs w:val="20"/>
                <w:lang w:eastAsia="en-GB"/>
              </w:rPr>
            </w:pPr>
            <w:r w:rsidRPr="004F3092">
              <w:rPr>
                <w:rFonts w:ascii="Arial" w:eastAsia="Times New Roman" w:hAnsi="Arial" w:cs="Arial"/>
                <w:color w:val="000000"/>
                <w:sz w:val="20"/>
                <w:szCs w:val="20"/>
                <w:lang w:eastAsia="en-GB"/>
              </w:rPr>
              <w:t>(1,477.3)</w:t>
            </w:r>
          </w:p>
        </w:tc>
      </w:tr>
      <w:tr w:rsidR="009F3BC6" w:rsidRPr="00053DFD" w14:paraId="63FE342D" w14:textId="77777777" w:rsidTr="00153A3A">
        <w:trPr>
          <w:trHeight w:val="281"/>
        </w:trPr>
        <w:tc>
          <w:tcPr>
            <w:tcW w:w="4926" w:type="dxa"/>
            <w:tcBorders>
              <w:top w:val="nil"/>
              <w:left w:val="nil"/>
              <w:bottom w:val="nil"/>
              <w:right w:val="nil"/>
            </w:tcBorders>
            <w:shd w:val="clear" w:color="auto" w:fill="auto"/>
            <w:noWrap/>
            <w:vAlign w:val="center"/>
          </w:tcPr>
          <w:p w14:paraId="027E59AF" w14:textId="77777777" w:rsidR="009F3BC6" w:rsidRPr="00DD162A" w:rsidRDefault="009F3BC6" w:rsidP="009F3BC6">
            <w:pPr>
              <w:rPr>
                <w:rFonts w:ascii="Arial" w:eastAsia="Times New Roman" w:hAnsi="Arial" w:cs="Arial"/>
                <w:color w:val="000000"/>
                <w:sz w:val="20"/>
                <w:szCs w:val="20"/>
                <w:lang w:eastAsia="en-GB"/>
              </w:rPr>
            </w:pPr>
            <w:r w:rsidRPr="00DD162A">
              <w:rPr>
                <w:rFonts w:ascii="Arial" w:eastAsia="Times New Roman" w:hAnsi="Arial" w:cs="Arial"/>
                <w:color w:val="000000"/>
                <w:sz w:val="20"/>
                <w:szCs w:val="20"/>
                <w:lang w:eastAsia="en-GB"/>
              </w:rPr>
              <w:t>Interest received</w:t>
            </w:r>
          </w:p>
        </w:tc>
        <w:tc>
          <w:tcPr>
            <w:tcW w:w="1593" w:type="dxa"/>
            <w:tcBorders>
              <w:left w:val="nil"/>
              <w:bottom w:val="single" w:sz="4" w:space="0" w:color="auto"/>
              <w:right w:val="nil"/>
            </w:tcBorders>
            <w:shd w:val="clear" w:color="auto" w:fill="auto"/>
            <w:noWrap/>
            <w:vAlign w:val="center"/>
          </w:tcPr>
          <w:p w14:paraId="44433E57" w14:textId="68088440" w:rsidR="009F3BC6" w:rsidRPr="00751993" w:rsidRDefault="00A56F78" w:rsidP="009F3BC6">
            <w:pPr>
              <w:jc w:val="right"/>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246.1</w:t>
            </w:r>
          </w:p>
        </w:tc>
        <w:tc>
          <w:tcPr>
            <w:tcW w:w="1593" w:type="dxa"/>
            <w:tcBorders>
              <w:left w:val="nil"/>
              <w:bottom w:val="single" w:sz="4" w:space="0" w:color="auto"/>
              <w:right w:val="nil"/>
            </w:tcBorders>
            <w:vAlign w:val="center"/>
          </w:tcPr>
          <w:p w14:paraId="62BB74CC" w14:textId="5BDA7B4F" w:rsidR="009F3BC6" w:rsidRPr="00751993" w:rsidRDefault="009F3BC6" w:rsidP="009F3BC6">
            <w:pPr>
              <w:jc w:val="right"/>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101.9</w:t>
            </w:r>
          </w:p>
        </w:tc>
        <w:tc>
          <w:tcPr>
            <w:tcW w:w="1594" w:type="dxa"/>
            <w:tcBorders>
              <w:left w:val="nil"/>
              <w:bottom w:val="single" w:sz="4" w:space="0" w:color="auto"/>
              <w:right w:val="nil"/>
            </w:tcBorders>
            <w:vAlign w:val="center"/>
          </w:tcPr>
          <w:p w14:paraId="4C7C9F75" w14:textId="427D7728" w:rsidR="009F3BC6" w:rsidRPr="00053DFD" w:rsidRDefault="009F3BC6" w:rsidP="009F3BC6">
            <w:pPr>
              <w:jc w:val="right"/>
              <w:rPr>
                <w:rFonts w:ascii="Arial" w:eastAsia="Times New Roman" w:hAnsi="Arial" w:cs="Arial"/>
                <w:bCs/>
                <w:color w:val="000000"/>
                <w:sz w:val="20"/>
                <w:szCs w:val="20"/>
                <w:lang w:eastAsia="en-GB"/>
              </w:rPr>
            </w:pPr>
            <w:r w:rsidRPr="004F3092">
              <w:rPr>
                <w:rFonts w:ascii="Arial" w:eastAsia="Times New Roman" w:hAnsi="Arial" w:cs="Arial"/>
                <w:color w:val="000000"/>
                <w:sz w:val="20"/>
                <w:szCs w:val="20"/>
                <w:lang w:eastAsia="en-GB"/>
              </w:rPr>
              <w:t>327.2</w:t>
            </w:r>
          </w:p>
        </w:tc>
      </w:tr>
      <w:tr w:rsidR="009F3BC6" w:rsidRPr="00DD162A" w14:paraId="4BF8E6F3" w14:textId="77777777" w:rsidTr="00153A3A">
        <w:trPr>
          <w:trHeight w:val="281"/>
        </w:trPr>
        <w:tc>
          <w:tcPr>
            <w:tcW w:w="4926" w:type="dxa"/>
            <w:tcBorders>
              <w:top w:val="nil"/>
              <w:left w:val="nil"/>
              <w:bottom w:val="nil"/>
              <w:right w:val="nil"/>
            </w:tcBorders>
            <w:shd w:val="clear" w:color="auto" w:fill="auto"/>
            <w:noWrap/>
            <w:vAlign w:val="center"/>
            <w:hideMark/>
          </w:tcPr>
          <w:p w14:paraId="2A249909" w14:textId="77777777" w:rsidR="009F3BC6" w:rsidRPr="00DD162A" w:rsidRDefault="009F3BC6" w:rsidP="009F3BC6">
            <w:pPr>
              <w:rPr>
                <w:rFonts w:ascii="Arial" w:eastAsia="Times New Roman" w:hAnsi="Arial" w:cs="Arial"/>
                <w:b/>
                <w:bCs/>
                <w:color w:val="000000"/>
                <w:sz w:val="20"/>
                <w:szCs w:val="20"/>
                <w:lang w:eastAsia="en-GB"/>
              </w:rPr>
            </w:pPr>
          </w:p>
        </w:tc>
        <w:tc>
          <w:tcPr>
            <w:tcW w:w="1593" w:type="dxa"/>
            <w:tcBorders>
              <w:top w:val="nil"/>
              <w:left w:val="nil"/>
              <w:bottom w:val="nil"/>
              <w:right w:val="nil"/>
            </w:tcBorders>
            <w:shd w:val="clear" w:color="auto" w:fill="auto"/>
            <w:noWrap/>
            <w:vAlign w:val="center"/>
          </w:tcPr>
          <w:p w14:paraId="590FBD51" w14:textId="77777777" w:rsidR="009F3BC6" w:rsidRPr="00DD162A" w:rsidRDefault="009F3BC6" w:rsidP="009F3BC6">
            <w:pPr>
              <w:jc w:val="right"/>
              <w:rPr>
                <w:rFonts w:ascii="Arial" w:eastAsia="Times New Roman" w:hAnsi="Arial" w:cs="Arial"/>
                <w:b/>
                <w:bCs/>
                <w:color w:val="000000"/>
                <w:sz w:val="20"/>
                <w:szCs w:val="20"/>
                <w:lang w:eastAsia="en-GB"/>
              </w:rPr>
            </w:pPr>
          </w:p>
        </w:tc>
        <w:tc>
          <w:tcPr>
            <w:tcW w:w="1593" w:type="dxa"/>
            <w:tcBorders>
              <w:top w:val="nil"/>
              <w:left w:val="nil"/>
              <w:bottom w:val="nil"/>
              <w:right w:val="nil"/>
            </w:tcBorders>
            <w:vAlign w:val="center"/>
          </w:tcPr>
          <w:p w14:paraId="4BDEBE77" w14:textId="77777777" w:rsidR="009F3BC6" w:rsidRPr="00DD162A" w:rsidRDefault="009F3BC6" w:rsidP="009F3BC6">
            <w:pPr>
              <w:rPr>
                <w:rFonts w:ascii="Arial" w:eastAsia="Times New Roman" w:hAnsi="Arial" w:cs="Arial"/>
                <w:b/>
                <w:bCs/>
                <w:color w:val="000000"/>
                <w:sz w:val="20"/>
                <w:szCs w:val="20"/>
                <w:lang w:eastAsia="en-GB"/>
              </w:rPr>
            </w:pPr>
          </w:p>
        </w:tc>
        <w:tc>
          <w:tcPr>
            <w:tcW w:w="1594" w:type="dxa"/>
            <w:tcBorders>
              <w:top w:val="nil"/>
              <w:left w:val="nil"/>
              <w:bottom w:val="nil"/>
              <w:right w:val="nil"/>
            </w:tcBorders>
            <w:vAlign w:val="center"/>
          </w:tcPr>
          <w:p w14:paraId="3B3DC69A" w14:textId="77F0FA1B" w:rsidR="009F3BC6" w:rsidRPr="00053DFD" w:rsidRDefault="009F3BC6" w:rsidP="009F3BC6">
            <w:pPr>
              <w:jc w:val="right"/>
              <w:rPr>
                <w:rFonts w:ascii="Arial" w:eastAsia="Times New Roman" w:hAnsi="Arial" w:cs="Arial"/>
                <w:b/>
                <w:bCs/>
                <w:color w:val="000000"/>
                <w:sz w:val="20"/>
                <w:szCs w:val="20"/>
                <w:lang w:eastAsia="en-GB"/>
              </w:rPr>
            </w:pPr>
          </w:p>
        </w:tc>
      </w:tr>
      <w:tr w:rsidR="009F3BC6" w:rsidRPr="00DD162A" w14:paraId="0349FB26" w14:textId="77777777" w:rsidTr="00153A3A">
        <w:trPr>
          <w:trHeight w:val="281"/>
        </w:trPr>
        <w:tc>
          <w:tcPr>
            <w:tcW w:w="4926" w:type="dxa"/>
            <w:tcBorders>
              <w:top w:val="nil"/>
              <w:left w:val="nil"/>
              <w:bottom w:val="nil"/>
              <w:right w:val="nil"/>
            </w:tcBorders>
            <w:shd w:val="clear" w:color="auto" w:fill="auto"/>
            <w:noWrap/>
            <w:vAlign w:val="center"/>
            <w:hideMark/>
          </w:tcPr>
          <w:p w14:paraId="26C0CC6C" w14:textId="77777777" w:rsidR="009F3BC6" w:rsidRPr="00DD162A" w:rsidRDefault="009F3BC6" w:rsidP="009F3BC6">
            <w:pPr>
              <w:rPr>
                <w:rFonts w:ascii="Arial" w:eastAsia="Times New Roman" w:hAnsi="Arial" w:cs="Arial"/>
                <w:color w:val="000000"/>
                <w:sz w:val="20"/>
                <w:szCs w:val="20"/>
                <w:lang w:eastAsia="en-GB"/>
              </w:rPr>
            </w:pPr>
            <w:r w:rsidRPr="00DD162A">
              <w:rPr>
                <w:rFonts w:ascii="Arial" w:eastAsia="Times New Roman" w:hAnsi="Arial" w:cs="Arial"/>
                <w:b/>
                <w:bCs/>
                <w:color w:val="000000"/>
                <w:sz w:val="20"/>
                <w:szCs w:val="20"/>
                <w:lang w:eastAsia="en-GB"/>
              </w:rPr>
              <w:t>Net cash used in investing activities</w:t>
            </w:r>
          </w:p>
        </w:tc>
        <w:tc>
          <w:tcPr>
            <w:tcW w:w="1593" w:type="dxa"/>
            <w:tcBorders>
              <w:top w:val="nil"/>
              <w:left w:val="nil"/>
              <w:bottom w:val="single" w:sz="8" w:space="0" w:color="auto"/>
              <w:right w:val="nil"/>
            </w:tcBorders>
            <w:shd w:val="clear" w:color="auto" w:fill="auto"/>
            <w:noWrap/>
            <w:vAlign w:val="center"/>
          </w:tcPr>
          <w:p w14:paraId="4D6F2466" w14:textId="55561F37" w:rsidR="009F3BC6" w:rsidRPr="00751993" w:rsidRDefault="00A56F78" w:rsidP="009F3BC6">
            <w:pPr>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(455.3)</w:t>
            </w:r>
          </w:p>
        </w:tc>
        <w:tc>
          <w:tcPr>
            <w:tcW w:w="1593" w:type="dxa"/>
            <w:tcBorders>
              <w:top w:val="nil"/>
              <w:left w:val="nil"/>
              <w:bottom w:val="single" w:sz="8" w:space="0" w:color="auto"/>
              <w:right w:val="nil"/>
            </w:tcBorders>
            <w:vAlign w:val="center"/>
          </w:tcPr>
          <w:p w14:paraId="3BD43CBD" w14:textId="67B96634" w:rsidR="009F3BC6" w:rsidRPr="00751993" w:rsidRDefault="009F3BC6" w:rsidP="009F3BC6">
            <w:pPr>
              <w:jc w:val="right"/>
              <w:rPr>
                <w:rFonts w:ascii="Arial" w:eastAsia="Times New Roman" w:hAnsi="Arial" w:cs="Arial"/>
                <w:b/>
                <w:bCs/>
                <w:color w:val="000000"/>
                <w:sz w:val="20"/>
                <w:szCs w:val="20"/>
                <w:lang w:eastAsia="en-GB"/>
              </w:rPr>
            </w:pPr>
            <w:r w:rsidRPr="00751993">
              <w:rPr>
                <w:rFonts w:ascii="Arial" w:eastAsia="Times New Roman" w:hAnsi="Arial" w:cs="Arial"/>
                <w:b/>
                <w:bCs/>
                <w:color w:val="000000"/>
                <w:sz w:val="20"/>
                <w:szCs w:val="20"/>
                <w:lang w:eastAsia="en-GB"/>
              </w:rPr>
              <w:t>(</w:t>
            </w:r>
            <w:r>
              <w:rPr>
                <w:rFonts w:ascii="Arial" w:eastAsia="Times New Roman" w:hAnsi="Arial" w:cs="Arial"/>
                <w:b/>
                <w:bCs/>
                <w:color w:val="000000"/>
                <w:sz w:val="20"/>
                <w:szCs w:val="20"/>
                <w:lang w:eastAsia="en-GB"/>
              </w:rPr>
              <w:t>212.3</w:t>
            </w:r>
            <w:r w:rsidRPr="00751993">
              <w:rPr>
                <w:rFonts w:ascii="Arial" w:eastAsia="Times New Roman" w:hAnsi="Arial" w:cs="Arial"/>
                <w:b/>
                <w:bCs/>
                <w:color w:val="000000"/>
                <w:sz w:val="20"/>
                <w:szCs w:val="20"/>
                <w:lang w:eastAsia="en-GB"/>
              </w:rPr>
              <w:t>)</w:t>
            </w:r>
          </w:p>
        </w:tc>
        <w:tc>
          <w:tcPr>
            <w:tcW w:w="1594" w:type="dxa"/>
            <w:tcBorders>
              <w:top w:val="nil"/>
              <w:left w:val="nil"/>
              <w:bottom w:val="single" w:sz="8" w:space="0" w:color="auto"/>
              <w:right w:val="nil"/>
            </w:tcBorders>
            <w:vAlign w:val="center"/>
          </w:tcPr>
          <w:p w14:paraId="582AF6C6" w14:textId="08C14745" w:rsidR="009F3BC6" w:rsidRPr="009F3BC6" w:rsidRDefault="009F3BC6" w:rsidP="009F3BC6">
            <w:pPr>
              <w:jc w:val="right"/>
              <w:rPr>
                <w:rFonts w:ascii="Arial" w:eastAsia="Times New Roman" w:hAnsi="Arial" w:cs="Arial"/>
                <w:b/>
                <w:bCs/>
                <w:color w:val="000000"/>
                <w:sz w:val="20"/>
                <w:szCs w:val="20"/>
                <w:lang w:eastAsia="en-GB"/>
              </w:rPr>
            </w:pPr>
            <w:r w:rsidRPr="009F3BC6">
              <w:rPr>
                <w:rFonts w:ascii="Arial" w:eastAsia="Times New Roman" w:hAnsi="Arial" w:cs="Arial"/>
                <w:b/>
                <w:bCs/>
                <w:color w:val="000000"/>
                <w:sz w:val="20"/>
                <w:szCs w:val="20"/>
                <w:lang w:eastAsia="en-GB"/>
              </w:rPr>
              <w:t>(1,150.1)</w:t>
            </w:r>
          </w:p>
        </w:tc>
      </w:tr>
      <w:tr w:rsidR="009F3BC6" w:rsidRPr="00DD162A" w14:paraId="7C0105A0" w14:textId="77777777" w:rsidTr="00153A3A">
        <w:trPr>
          <w:trHeight w:val="281"/>
        </w:trPr>
        <w:tc>
          <w:tcPr>
            <w:tcW w:w="4926" w:type="dxa"/>
            <w:tcBorders>
              <w:top w:val="nil"/>
              <w:left w:val="nil"/>
              <w:bottom w:val="nil"/>
              <w:right w:val="nil"/>
            </w:tcBorders>
            <w:shd w:val="clear" w:color="auto" w:fill="auto"/>
            <w:noWrap/>
            <w:vAlign w:val="center"/>
            <w:hideMark/>
          </w:tcPr>
          <w:p w14:paraId="4834A5E3" w14:textId="77777777" w:rsidR="009F3BC6" w:rsidRPr="00DD162A" w:rsidRDefault="009F3BC6" w:rsidP="009F3BC6">
            <w:pPr>
              <w:rPr>
                <w:rFonts w:ascii="Arial" w:eastAsia="Times New Roman" w:hAnsi="Arial" w:cs="Arial"/>
                <w:color w:val="000000"/>
                <w:sz w:val="20"/>
                <w:szCs w:val="20"/>
                <w:lang w:eastAsia="en-GB"/>
              </w:rPr>
            </w:pPr>
          </w:p>
        </w:tc>
        <w:tc>
          <w:tcPr>
            <w:tcW w:w="1593" w:type="dxa"/>
            <w:tcBorders>
              <w:top w:val="nil"/>
              <w:left w:val="nil"/>
              <w:bottom w:val="nil"/>
              <w:right w:val="nil"/>
            </w:tcBorders>
            <w:shd w:val="clear" w:color="auto" w:fill="auto"/>
            <w:noWrap/>
            <w:vAlign w:val="center"/>
          </w:tcPr>
          <w:p w14:paraId="26CCE171" w14:textId="77777777" w:rsidR="009F3BC6" w:rsidRPr="00751993" w:rsidRDefault="009F3BC6" w:rsidP="009F3BC6">
            <w:pPr>
              <w:jc w:val="right"/>
              <w:rPr>
                <w:rFonts w:ascii="Arial" w:eastAsia="Times New Roman" w:hAnsi="Arial" w:cs="Arial"/>
                <w:b/>
                <w:bCs/>
                <w:color w:val="000000"/>
                <w:sz w:val="20"/>
                <w:szCs w:val="20"/>
                <w:lang w:eastAsia="en-GB"/>
              </w:rPr>
            </w:pPr>
          </w:p>
        </w:tc>
        <w:tc>
          <w:tcPr>
            <w:tcW w:w="1593" w:type="dxa"/>
            <w:tcBorders>
              <w:top w:val="nil"/>
              <w:left w:val="nil"/>
              <w:bottom w:val="nil"/>
              <w:right w:val="nil"/>
            </w:tcBorders>
            <w:vAlign w:val="center"/>
          </w:tcPr>
          <w:p w14:paraId="1CF16CB7" w14:textId="77777777" w:rsidR="009F3BC6" w:rsidRPr="00751993" w:rsidRDefault="009F3BC6" w:rsidP="009F3BC6">
            <w:pPr>
              <w:jc w:val="right"/>
              <w:rPr>
                <w:rFonts w:ascii="Arial" w:eastAsia="Times New Roman" w:hAnsi="Arial" w:cs="Arial"/>
                <w:b/>
                <w:bCs/>
                <w:color w:val="000000"/>
                <w:sz w:val="20"/>
                <w:szCs w:val="20"/>
                <w:lang w:eastAsia="en-GB"/>
              </w:rPr>
            </w:pPr>
          </w:p>
        </w:tc>
        <w:tc>
          <w:tcPr>
            <w:tcW w:w="1594" w:type="dxa"/>
            <w:tcBorders>
              <w:top w:val="nil"/>
              <w:left w:val="nil"/>
              <w:bottom w:val="nil"/>
              <w:right w:val="nil"/>
            </w:tcBorders>
            <w:vAlign w:val="center"/>
          </w:tcPr>
          <w:p w14:paraId="74E478F3" w14:textId="77777777" w:rsidR="009F3BC6" w:rsidRPr="00053DFD" w:rsidRDefault="009F3BC6" w:rsidP="009F3BC6">
            <w:pPr>
              <w:jc w:val="right"/>
              <w:rPr>
                <w:rFonts w:ascii="Arial" w:eastAsia="Times New Roman" w:hAnsi="Arial" w:cs="Arial"/>
                <w:b/>
                <w:bCs/>
                <w:color w:val="000000"/>
                <w:sz w:val="20"/>
                <w:szCs w:val="20"/>
                <w:lang w:eastAsia="en-GB"/>
              </w:rPr>
            </w:pPr>
          </w:p>
        </w:tc>
      </w:tr>
      <w:tr w:rsidR="009F3BC6" w:rsidRPr="00DD162A" w14:paraId="3D6BB685" w14:textId="77777777" w:rsidTr="00153A3A">
        <w:trPr>
          <w:trHeight w:val="85"/>
        </w:trPr>
        <w:tc>
          <w:tcPr>
            <w:tcW w:w="4926" w:type="dxa"/>
            <w:tcBorders>
              <w:top w:val="nil"/>
              <w:left w:val="nil"/>
              <w:bottom w:val="nil"/>
              <w:right w:val="nil"/>
            </w:tcBorders>
            <w:shd w:val="clear" w:color="auto" w:fill="auto"/>
            <w:noWrap/>
            <w:vAlign w:val="center"/>
            <w:hideMark/>
          </w:tcPr>
          <w:p w14:paraId="4E41B500" w14:textId="77777777" w:rsidR="009F3BC6" w:rsidRPr="00DD162A" w:rsidRDefault="009F3BC6" w:rsidP="009F3BC6">
            <w:pPr>
              <w:rPr>
                <w:rFonts w:ascii="Arial" w:eastAsia="Times New Roman" w:hAnsi="Arial" w:cs="Arial"/>
                <w:b/>
                <w:bCs/>
                <w:color w:val="000000"/>
                <w:sz w:val="20"/>
                <w:szCs w:val="20"/>
                <w:lang w:eastAsia="en-GB"/>
              </w:rPr>
            </w:pPr>
            <w:r w:rsidRPr="00DD162A">
              <w:rPr>
                <w:rFonts w:ascii="Arial" w:eastAsia="Times New Roman" w:hAnsi="Arial" w:cs="Arial"/>
                <w:b/>
                <w:bCs/>
                <w:color w:val="000000"/>
                <w:sz w:val="20"/>
                <w:szCs w:val="20"/>
                <w:lang w:eastAsia="en-GB"/>
              </w:rPr>
              <w:t>Financing activities</w:t>
            </w:r>
          </w:p>
        </w:tc>
        <w:tc>
          <w:tcPr>
            <w:tcW w:w="1593" w:type="dxa"/>
            <w:tcBorders>
              <w:top w:val="nil"/>
              <w:left w:val="nil"/>
              <w:bottom w:val="nil"/>
              <w:right w:val="nil"/>
            </w:tcBorders>
            <w:shd w:val="clear" w:color="auto" w:fill="auto"/>
            <w:vAlign w:val="center"/>
          </w:tcPr>
          <w:p w14:paraId="49C98DCD" w14:textId="77777777" w:rsidR="009F3BC6" w:rsidRPr="00DD162A" w:rsidRDefault="009F3BC6" w:rsidP="009F3BC6">
            <w:pPr>
              <w:jc w:val="right"/>
              <w:rPr>
                <w:rFonts w:ascii="Arial" w:eastAsia="Times New Roman" w:hAnsi="Arial" w:cs="Arial"/>
                <w:b/>
                <w:bCs/>
                <w:color w:val="000000"/>
                <w:sz w:val="20"/>
                <w:szCs w:val="20"/>
                <w:lang w:eastAsia="en-GB"/>
              </w:rPr>
            </w:pPr>
          </w:p>
        </w:tc>
        <w:tc>
          <w:tcPr>
            <w:tcW w:w="1593" w:type="dxa"/>
            <w:tcBorders>
              <w:top w:val="nil"/>
              <w:left w:val="nil"/>
              <w:bottom w:val="nil"/>
              <w:right w:val="nil"/>
            </w:tcBorders>
            <w:vAlign w:val="center"/>
          </w:tcPr>
          <w:p w14:paraId="5451D247" w14:textId="77777777" w:rsidR="009F3BC6" w:rsidRPr="00DD162A" w:rsidRDefault="009F3BC6" w:rsidP="009F3BC6">
            <w:pPr>
              <w:jc w:val="right"/>
              <w:rPr>
                <w:rFonts w:ascii="Arial" w:eastAsia="Times New Roman" w:hAnsi="Arial" w:cs="Arial"/>
                <w:b/>
                <w:bCs/>
                <w:color w:val="000000"/>
                <w:sz w:val="20"/>
                <w:szCs w:val="20"/>
                <w:lang w:eastAsia="en-GB"/>
              </w:rPr>
            </w:pPr>
          </w:p>
        </w:tc>
        <w:tc>
          <w:tcPr>
            <w:tcW w:w="1594" w:type="dxa"/>
            <w:tcBorders>
              <w:top w:val="nil"/>
              <w:left w:val="nil"/>
              <w:bottom w:val="nil"/>
              <w:right w:val="nil"/>
            </w:tcBorders>
          </w:tcPr>
          <w:p w14:paraId="61FCE1B5" w14:textId="77777777" w:rsidR="009F3BC6" w:rsidRPr="00053DFD" w:rsidRDefault="009F3BC6" w:rsidP="009F3BC6">
            <w:pPr>
              <w:jc w:val="right"/>
              <w:rPr>
                <w:rFonts w:ascii="Arial" w:eastAsia="Times New Roman" w:hAnsi="Arial" w:cs="Arial"/>
                <w:bCs/>
                <w:color w:val="000000"/>
                <w:sz w:val="20"/>
                <w:szCs w:val="20"/>
                <w:lang w:eastAsia="en-GB"/>
              </w:rPr>
            </w:pPr>
          </w:p>
        </w:tc>
      </w:tr>
      <w:tr w:rsidR="009F3BC6" w:rsidRPr="00DD162A" w14:paraId="3F155CD1" w14:textId="77777777" w:rsidTr="00153A3A">
        <w:trPr>
          <w:trHeight w:val="281"/>
        </w:trPr>
        <w:tc>
          <w:tcPr>
            <w:tcW w:w="4926" w:type="dxa"/>
            <w:tcBorders>
              <w:top w:val="nil"/>
              <w:left w:val="nil"/>
              <w:bottom w:val="nil"/>
              <w:right w:val="nil"/>
            </w:tcBorders>
            <w:shd w:val="clear" w:color="auto" w:fill="auto"/>
            <w:noWrap/>
            <w:vAlign w:val="center"/>
            <w:hideMark/>
          </w:tcPr>
          <w:p w14:paraId="6845D705" w14:textId="77777777" w:rsidR="009F3BC6" w:rsidRPr="00DD162A" w:rsidRDefault="009F3BC6" w:rsidP="009F3BC6">
            <w:pPr>
              <w:rPr>
                <w:rFonts w:ascii="Arial" w:eastAsia="Times New Roman" w:hAnsi="Arial" w:cs="Arial"/>
                <w:b/>
                <w:bCs/>
                <w:color w:val="000000"/>
                <w:sz w:val="20"/>
                <w:szCs w:val="20"/>
                <w:lang w:eastAsia="en-GB"/>
              </w:rPr>
            </w:pPr>
            <w:r w:rsidRPr="00DD162A">
              <w:rPr>
                <w:rFonts w:ascii="Arial" w:eastAsia="Times New Roman" w:hAnsi="Arial" w:cs="Arial"/>
                <w:color w:val="000000"/>
                <w:sz w:val="20"/>
                <w:szCs w:val="20"/>
                <w:lang w:eastAsia="en-GB"/>
              </w:rPr>
              <w:t>Interest (paid)</w:t>
            </w:r>
          </w:p>
        </w:tc>
        <w:tc>
          <w:tcPr>
            <w:tcW w:w="1593" w:type="dxa"/>
            <w:tcBorders>
              <w:top w:val="nil"/>
              <w:left w:val="nil"/>
              <w:bottom w:val="nil"/>
              <w:right w:val="nil"/>
            </w:tcBorders>
            <w:shd w:val="clear" w:color="auto" w:fill="auto"/>
            <w:noWrap/>
            <w:vAlign w:val="center"/>
          </w:tcPr>
          <w:p w14:paraId="5A56B853" w14:textId="6822C19C" w:rsidR="009F3BC6" w:rsidRPr="00751993" w:rsidRDefault="00A56F78" w:rsidP="009F3BC6">
            <w:pPr>
              <w:jc w:val="right"/>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(51.1)</w:t>
            </w:r>
          </w:p>
        </w:tc>
        <w:tc>
          <w:tcPr>
            <w:tcW w:w="1593" w:type="dxa"/>
            <w:tcBorders>
              <w:top w:val="nil"/>
              <w:left w:val="nil"/>
              <w:bottom w:val="nil"/>
              <w:right w:val="nil"/>
            </w:tcBorders>
            <w:vAlign w:val="center"/>
          </w:tcPr>
          <w:p w14:paraId="4BEA3C5E" w14:textId="4E92D74B" w:rsidR="009F3BC6" w:rsidRPr="00751993" w:rsidRDefault="009F3BC6" w:rsidP="009F3BC6">
            <w:pPr>
              <w:jc w:val="right"/>
              <w:rPr>
                <w:rFonts w:ascii="Arial" w:eastAsia="Times New Roman" w:hAnsi="Arial" w:cs="Arial"/>
                <w:bCs/>
                <w:color w:val="000000"/>
                <w:sz w:val="20"/>
                <w:szCs w:val="20"/>
                <w:lang w:eastAsia="en-GB"/>
              </w:rPr>
            </w:pPr>
            <w:r w:rsidRPr="00751993">
              <w:rPr>
                <w:rFonts w:ascii="Arial" w:eastAsia="Times New Roman" w:hAnsi="Arial" w:cs="Arial"/>
                <w:bCs/>
                <w:color w:val="000000"/>
                <w:sz w:val="20"/>
                <w:szCs w:val="20"/>
                <w:lang w:eastAsia="en-GB"/>
              </w:rPr>
              <w:t>(</w:t>
            </w:r>
            <w:r>
              <w:rPr>
                <w:rFonts w:ascii="Arial" w:eastAsia="Times New Roman" w:hAnsi="Arial" w:cs="Arial"/>
                <w:bCs/>
                <w:color w:val="000000"/>
                <w:sz w:val="20"/>
                <w:szCs w:val="20"/>
                <w:lang w:eastAsia="en-GB"/>
              </w:rPr>
              <w:t>43.5</w:t>
            </w:r>
            <w:r w:rsidRPr="00751993">
              <w:rPr>
                <w:rFonts w:ascii="Arial" w:eastAsia="Times New Roman" w:hAnsi="Arial" w:cs="Arial"/>
                <w:bCs/>
                <w:color w:val="000000"/>
                <w:sz w:val="20"/>
                <w:szCs w:val="20"/>
                <w:lang w:eastAsia="en-GB"/>
              </w:rPr>
              <w:t>)</w:t>
            </w:r>
          </w:p>
        </w:tc>
        <w:tc>
          <w:tcPr>
            <w:tcW w:w="1594" w:type="dxa"/>
            <w:tcBorders>
              <w:top w:val="nil"/>
              <w:left w:val="nil"/>
              <w:bottom w:val="nil"/>
              <w:right w:val="nil"/>
            </w:tcBorders>
            <w:vAlign w:val="center"/>
          </w:tcPr>
          <w:p w14:paraId="741AB16B" w14:textId="34F2167F" w:rsidR="009F3BC6" w:rsidRPr="00053DFD" w:rsidRDefault="009F3BC6" w:rsidP="009F3BC6">
            <w:pPr>
              <w:jc w:val="right"/>
              <w:rPr>
                <w:rFonts w:ascii="Arial" w:eastAsia="Times New Roman" w:hAnsi="Arial" w:cs="Arial"/>
                <w:bCs/>
                <w:color w:val="000000"/>
                <w:sz w:val="20"/>
                <w:szCs w:val="20"/>
                <w:lang w:eastAsia="en-GB"/>
              </w:rPr>
            </w:pPr>
            <w:r w:rsidRPr="004F3092">
              <w:rPr>
                <w:rFonts w:ascii="Arial" w:eastAsia="Times New Roman" w:hAnsi="Arial" w:cs="Arial"/>
                <w:color w:val="000000"/>
                <w:sz w:val="20"/>
                <w:szCs w:val="20"/>
                <w:lang w:eastAsia="en-GB"/>
              </w:rPr>
              <w:t>(107.0)</w:t>
            </w:r>
          </w:p>
        </w:tc>
      </w:tr>
      <w:tr w:rsidR="009F3BC6" w:rsidRPr="00DD162A" w14:paraId="3DD3D56A" w14:textId="77777777" w:rsidTr="00153A3A">
        <w:trPr>
          <w:trHeight w:val="281"/>
        </w:trPr>
        <w:tc>
          <w:tcPr>
            <w:tcW w:w="4926" w:type="dxa"/>
            <w:tcBorders>
              <w:top w:val="nil"/>
              <w:left w:val="nil"/>
              <w:bottom w:val="nil"/>
              <w:right w:val="nil"/>
            </w:tcBorders>
            <w:shd w:val="clear" w:color="auto" w:fill="auto"/>
            <w:noWrap/>
            <w:vAlign w:val="center"/>
            <w:hideMark/>
          </w:tcPr>
          <w:p w14:paraId="31969D03" w14:textId="539C6E4F" w:rsidR="009F3BC6" w:rsidRPr="004104CA" w:rsidRDefault="00F663D7" w:rsidP="009F3BC6">
            <w:pPr>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Issue of shares</w:t>
            </w:r>
            <w:r w:rsidR="00A23849">
              <w:rPr>
                <w:rFonts w:ascii="Arial" w:eastAsia="Times New Roman" w:hAnsi="Arial" w:cs="Arial"/>
                <w:bCs/>
                <w:color w:val="000000"/>
                <w:sz w:val="20"/>
                <w:szCs w:val="20"/>
                <w:lang w:eastAsia="en-GB"/>
              </w:rPr>
              <w:t xml:space="preserve"> </w:t>
            </w:r>
          </w:p>
        </w:tc>
        <w:tc>
          <w:tcPr>
            <w:tcW w:w="1593" w:type="dxa"/>
            <w:tcBorders>
              <w:top w:val="nil"/>
              <w:left w:val="nil"/>
              <w:bottom w:val="nil"/>
              <w:right w:val="nil"/>
            </w:tcBorders>
            <w:shd w:val="clear" w:color="auto" w:fill="auto"/>
            <w:noWrap/>
            <w:vAlign w:val="center"/>
          </w:tcPr>
          <w:p w14:paraId="7A1242D2" w14:textId="03E8E688" w:rsidR="009F3BC6" w:rsidRPr="00751993" w:rsidRDefault="00DD7888" w:rsidP="009F3BC6">
            <w:pPr>
              <w:jc w:val="right"/>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13.6</w:t>
            </w:r>
          </w:p>
        </w:tc>
        <w:tc>
          <w:tcPr>
            <w:tcW w:w="1593" w:type="dxa"/>
            <w:tcBorders>
              <w:top w:val="nil"/>
              <w:left w:val="nil"/>
              <w:bottom w:val="nil"/>
              <w:right w:val="nil"/>
            </w:tcBorders>
            <w:vAlign w:val="center"/>
          </w:tcPr>
          <w:p w14:paraId="299A5E1D" w14:textId="725A427E" w:rsidR="009F3BC6" w:rsidRPr="00751993" w:rsidRDefault="009F3BC6" w:rsidP="009F3BC6">
            <w:pPr>
              <w:jc w:val="right"/>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195.2</w:t>
            </w:r>
          </w:p>
        </w:tc>
        <w:tc>
          <w:tcPr>
            <w:tcW w:w="1594" w:type="dxa"/>
            <w:tcBorders>
              <w:top w:val="nil"/>
              <w:left w:val="nil"/>
              <w:bottom w:val="nil"/>
              <w:right w:val="nil"/>
            </w:tcBorders>
            <w:vAlign w:val="center"/>
          </w:tcPr>
          <w:p w14:paraId="221940B3" w14:textId="4655C6F3" w:rsidR="009F3BC6" w:rsidRPr="00053DFD" w:rsidRDefault="009F3BC6" w:rsidP="009F3BC6">
            <w:pPr>
              <w:jc w:val="right"/>
              <w:rPr>
                <w:rFonts w:ascii="Arial" w:eastAsia="Times New Roman" w:hAnsi="Arial" w:cs="Arial"/>
                <w:bCs/>
                <w:color w:val="000000"/>
                <w:sz w:val="20"/>
                <w:szCs w:val="20"/>
                <w:lang w:eastAsia="en-GB"/>
              </w:rPr>
            </w:pPr>
            <w:r w:rsidRPr="004F3092">
              <w:rPr>
                <w:rFonts w:ascii="Arial" w:eastAsia="Times New Roman" w:hAnsi="Arial" w:cs="Arial"/>
                <w:color w:val="000000"/>
                <w:sz w:val="20"/>
                <w:szCs w:val="20"/>
                <w:lang w:eastAsia="en-GB"/>
              </w:rPr>
              <w:t>1,082.2</w:t>
            </w:r>
          </w:p>
        </w:tc>
      </w:tr>
      <w:tr w:rsidR="00DD7888" w:rsidRPr="00DD162A" w14:paraId="357E442D" w14:textId="77777777" w:rsidTr="00153A3A">
        <w:trPr>
          <w:trHeight w:val="281"/>
        </w:trPr>
        <w:tc>
          <w:tcPr>
            <w:tcW w:w="4926" w:type="dxa"/>
            <w:tcBorders>
              <w:top w:val="nil"/>
              <w:left w:val="nil"/>
              <w:bottom w:val="nil"/>
              <w:right w:val="nil"/>
            </w:tcBorders>
            <w:shd w:val="clear" w:color="auto" w:fill="auto"/>
            <w:noWrap/>
            <w:vAlign w:val="center"/>
          </w:tcPr>
          <w:p w14:paraId="0EE9DFE9" w14:textId="7F197393" w:rsidR="00DD7888" w:rsidRPr="004104CA" w:rsidRDefault="00DD7888" w:rsidP="00DD7888">
            <w:pPr>
              <w:rPr>
                <w:rFonts w:ascii="Arial" w:eastAsia="Times New Roman" w:hAnsi="Arial" w:cs="Arial"/>
                <w:bCs/>
                <w:color w:val="000000"/>
                <w:sz w:val="20"/>
                <w:szCs w:val="20"/>
                <w:lang w:eastAsia="en-GB"/>
              </w:rPr>
            </w:pPr>
            <w:r w:rsidRPr="00DD162A">
              <w:rPr>
                <w:rFonts w:ascii="Arial" w:eastAsia="Times New Roman" w:hAnsi="Arial" w:cs="Arial"/>
                <w:color w:val="000000"/>
                <w:sz w:val="20"/>
                <w:szCs w:val="20"/>
                <w:lang w:eastAsia="en-GB"/>
              </w:rPr>
              <w:t>Dividends paid</w:t>
            </w:r>
          </w:p>
        </w:tc>
        <w:tc>
          <w:tcPr>
            <w:tcW w:w="1593" w:type="dxa"/>
            <w:tcBorders>
              <w:top w:val="nil"/>
              <w:left w:val="nil"/>
              <w:bottom w:val="nil"/>
              <w:right w:val="nil"/>
            </w:tcBorders>
            <w:shd w:val="clear" w:color="auto" w:fill="auto"/>
            <w:noWrap/>
            <w:vAlign w:val="center"/>
          </w:tcPr>
          <w:p w14:paraId="3D3FAB16" w14:textId="49AD30FC" w:rsidR="00DD7888" w:rsidRPr="00751993" w:rsidRDefault="00DD7888" w:rsidP="00DD7888">
            <w:pPr>
              <w:jc w:val="right"/>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(11,937.9)</w:t>
            </w:r>
          </w:p>
        </w:tc>
        <w:tc>
          <w:tcPr>
            <w:tcW w:w="1593" w:type="dxa"/>
            <w:tcBorders>
              <w:top w:val="nil"/>
              <w:left w:val="nil"/>
              <w:bottom w:val="nil"/>
              <w:right w:val="nil"/>
            </w:tcBorders>
            <w:vAlign w:val="center"/>
          </w:tcPr>
          <w:p w14:paraId="4E9342BC" w14:textId="0E73BCED" w:rsidR="00DD7888" w:rsidRDefault="00DD7888" w:rsidP="00DD7888">
            <w:pPr>
              <w:jc w:val="right"/>
              <w:rPr>
                <w:rFonts w:ascii="Arial" w:eastAsia="Times New Roman" w:hAnsi="Arial" w:cs="Arial"/>
                <w:bCs/>
                <w:color w:val="000000"/>
                <w:sz w:val="20"/>
                <w:szCs w:val="20"/>
                <w:lang w:eastAsia="en-GB"/>
              </w:rPr>
            </w:pPr>
            <w:r w:rsidRPr="00751993">
              <w:rPr>
                <w:rFonts w:ascii="Arial" w:eastAsia="Times New Roman" w:hAnsi="Arial" w:cs="Arial"/>
                <w:bCs/>
                <w:color w:val="000000"/>
                <w:sz w:val="20"/>
                <w:szCs w:val="20"/>
                <w:lang w:eastAsia="en-GB"/>
              </w:rPr>
              <w:t>(</w:t>
            </w:r>
            <w:r>
              <w:rPr>
                <w:rFonts w:ascii="Arial" w:eastAsia="Times New Roman" w:hAnsi="Arial" w:cs="Arial"/>
                <w:bCs/>
                <w:color w:val="000000"/>
                <w:sz w:val="20"/>
                <w:szCs w:val="20"/>
                <w:lang w:eastAsia="en-GB"/>
              </w:rPr>
              <w:t>8,826.5</w:t>
            </w:r>
            <w:r w:rsidRPr="00751993">
              <w:rPr>
                <w:rFonts w:ascii="Arial" w:eastAsia="Times New Roman" w:hAnsi="Arial" w:cs="Arial"/>
                <w:bCs/>
                <w:color w:val="000000"/>
                <w:sz w:val="20"/>
                <w:szCs w:val="20"/>
                <w:lang w:eastAsia="en-GB"/>
              </w:rPr>
              <w:t>)</w:t>
            </w:r>
          </w:p>
        </w:tc>
        <w:tc>
          <w:tcPr>
            <w:tcW w:w="1594" w:type="dxa"/>
            <w:tcBorders>
              <w:top w:val="nil"/>
              <w:left w:val="nil"/>
              <w:bottom w:val="nil"/>
              <w:right w:val="nil"/>
            </w:tcBorders>
            <w:vAlign w:val="center"/>
          </w:tcPr>
          <w:p w14:paraId="0273F4AD" w14:textId="09238094" w:rsidR="00DD7888" w:rsidRPr="004F3092" w:rsidRDefault="00DD7888" w:rsidP="00DD7888">
            <w:pPr>
              <w:jc w:val="right"/>
              <w:rPr>
                <w:rFonts w:ascii="Arial" w:eastAsia="Times New Roman" w:hAnsi="Arial" w:cs="Arial"/>
                <w:color w:val="000000"/>
                <w:sz w:val="20"/>
                <w:szCs w:val="20"/>
                <w:lang w:eastAsia="en-GB"/>
              </w:rPr>
            </w:pPr>
            <w:r w:rsidRPr="004F3092">
              <w:rPr>
                <w:rFonts w:ascii="Arial" w:eastAsia="Times New Roman" w:hAnsi="Arial" w:cs="Arial"/>
                <w:color w:val="000000"/>
                <w:sz w:val="20"/>
                <w:szCs w:val="20"/>
                <w:lang w:eastAsia="en-GB"/>
              </w:rPr>
              <w:t>(13,725.2)</w:t>
            </w:r>
          </w:p>
        </w:tc>
      </w:tr>
      <w:tr w:rsidR="00DD7888" w:rsidRPr="00DD162A" w14:paraId="4F5E7CC2" w14:textId="77777777" w:rsidTr="00153A3A">
        <w:trPr>
          <w:trHeight w:val="281"/>
        </w:trPr>
        <w:tc>
          <w:tcPr>
            <w:tcW w:w="4926" w:type="dxa"/>
            <w:tcBorders>
              <w:top w:val="nil"/>
              <w:left w:val="nil"/>
              <w:bottom w:val="nil"/>
              <w:right w:val="nil"/>
            </w:tcBorders>
            <w:shd w:val="clear" w:color="auto" w:fill="auto"/>
            <w:noWrap/>
            <w:vAlign w:val="center"/>
          </w:tcPr>
          <w:p w14:paraId="38570798" w14:textId="3FF1BB8E" w:rsidR="00DD7888" w:rsidRPr="004104CA" w:rsidRDefault="00DD7888" w:rsidP="00DD7888">
            <w:pPr>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Repayment of loan</w:t>
            </w:r>
          </w:p>
        </w:tc>
        <w:tc>
          <w:tcPr>
            <w:tcW w:w="1593" w:type="dxa"/>
            <w:tcBorders>
              <w:top w:val="nil"/>
              <w:left w:val="nil"/>
              <w:bottom w:val="nil"/>
              <w:right w:val="nil"/>
            </w:tcBorders>
            <w:shd w:val="clear" w:color="auto" w:fill="auto"/>
            <w:noWrap/>
            <w:vAlign w:val="center"/>
          </w:tcPr>
          <w:p w14:paraId="7DCB1F17" w14:textId="357E0059" w:rsidR="00DD7888" w:rsidRPr="00751993" w:rsidRDefault="00DD7888" w:rsidP="00DD7888">
            <w:pPr>
              <w:jc w:val="right"/>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(6,075.0)</w:t>
            </w:r>
          </w:p>
        </w:tc>
        <w:tc>
          <w:tcPr>
            <w:tcW w:w="1593" w:type="dxa"/>
            <w:tcBorders>
              <w:top w:val="nil"/>
              <w:left w:val="nil"/>
              <w:bottom w:val="nil"/>
              <w:right w:val="nil"/>
            </w:tcBorders>
            <w:vAlign w:val="center"/>
          </w:tcPr>
          <w:p w14:paraId="7474C37E" w14:textId="44B5B28E" w:rsidR="00DD7888" w:rsidRDefault="00ED014B" w:rsidP="00DD7888">
            <w:pPr>
              <w:jc w:val="right"/>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w:t>
            </w:r>
          </w:p>
        </w:tc>
        <w:tc>
          <w:tcPr>
            <w:tcW w:w="1594" w:type="dxa"/>
            <w:tcBorders>
              <w:top w:val="nil"/>
              <w:left w:val="nil"/>
              <w:bottom w:val="nil"/>
              <w:right w:val="nil"/>
            </w:tcBorders>
            <w:vAlign w:val="center"/>
          </w:tcPr>
          <w:p w14:paraId="3E7CA8A4" w14:textId="43E7B79C" w:rsidR="00DD7888" w:rsidRPr="004F3092" w:rsidRDefault="00ED014B" w:rsidP="00DD7888">
            <w:pPr>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p>
        </w:tc>
      </w:tr>
      <w:tr w:rsidR="00DD7888" w:rsidRPr="00DD162A" w14:paraId="2A3CBFA6" w14:textId="77777777" w:rsidTr="00153A3A">
        <w:trPr>
          <w:trHeight w:val="281"/>
        </w:trPr>
        <w:tc>
          <w:tcPr>
            <w:tcW w:w="4926" w:type="dxa"/>
            <w:tcBorders>
              <w:top w:val="nil"/>
              <w:left w:val="nil"/>
              <w:bottom w:val="nil"/>
              <w:right w:val="nil"/>
            </w:tcBorders>
            <w:shd w:val="clear" w:color="auto" w:fill="auto"/>
            <w:noWrap/>
            <w:vAlign w:val="center"/>
          </w:tcPr>
          <w:p w14:paraId="048FD249" w14:textId="6E7555FA" w:rsidR="00DD7888" w:rsidRPr="004104CA" w:rsidRDefault="00EA3540" w:rsidP="00DD7888">
            <w:pPr>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Issue of other financial assets</w:t>
            </w:r>
          </w:p>
        </w:tc>
        <w:tc>
          <w:tcPr>
            <w:tcW w:w="1593" w:type="dxa"/>
            <w:tcBorders>
              <w:top w:val="nil"/>
              <w:left w:val="nil"/>
              <w:bottom w:val="nil"/>
              <w:right w:val="nil"/>
            </w:tcBorders>
            <w:shd w:val="clear" w:color="auto" w:fill="auto"/>
            <w:noWrap/>
            <w:vAlign w:val="center"/>
          </w:tcPr>
          <w:p w14:paraId="1C82EA54" w14:textId="58CC5B46" w:rsidR="00DD7888" w:rsidRPr="00751993" w:rsidRDefault="00F07110" w:rsidP="00DD7888">
            <w:pPr>
              <w:jc w:val="right"/>
              <w:rPr>
                <w:rFonts w:ascii="Arial" w:eastAsia="Times New Roman" w:hAnsi="Arial" w:cs="Arial"/>
                <w:bCs/>
                <w:color w:val="000000"/>
                <w:sz w:val="20"/>
                <w:szCs w:val="20"/>
                <w:lang w:eastAsia="en-GB"/>
              </w:rPr>
            </w:pPr>
            <w:r>
              <w:rPr>
                <w:rFonts w:ascii="Arial" w:eastAsia="Times New Roman" w:hAnsi="Arial" w:cs="Arial"/>
                <w:color w:val="000000"/>
                <w:sz w:val="20"/>
                <w:szCs w:val="20"/>
                <w:lang w:eastAsia="en-GB"/>
              </w:rPr>
              <w:t>(2,243.2)</w:t>
            </w:r>
          </w:p>
        </w:tc>
        <w:tc>
          <w:tcPr>
            <w:tcW w:w="1593" w:type="dxa"/>
            <w:tcBorders>
              <w:top w:val="nil"/>
              <w:left w:val="nil"/>
              <w:bottom w:val="nil"/>
              <w:right w:val="nil"/>
            </w:tcBorders>
            <w:vAlign w:val="center"/>
          </w:tcPr>
          <w:p w14:paraId="656447A5" w14:textId="098FC489" w:rsidR="00DD7888" w:rsidRDefault="00ED014B" w:rsidP="00DD7888">
            <w:pPr>
              <w:jc w:val="right"/>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w:t>
            </w:r>
          </w:p>
        </w:tc>
        <w:tc>
          <w:tcPr>
            <w:tcW w:w="1594" w:type="dxa"/>
            <w:tcBorders>
              <w:top w:val="nil"/>
              <w:left w:val="nil"/>
              <w:bottom w:val="nil"/>
              <w:right w:val="nil"/>
            </w:tcBorders>
            <w:vAlign w:val="center"/>
          </w:tcPr>
          <w:p w14:paraId="531D6872" w14:textId="74538A26" w:rsidR="00DD7888" w:rsidRPr="004F3092" w:rsidRDefault="00ED014B" w:rsidP="00DD7888">
            <w:pPr>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p>
        </w:tc>
      </w:tr>
      <w:tr w:rsidR="00DD7888" w:rsidRPr="00DD162A" w14:paraId="17CFF11D" w14:textId="77777777" w:rsidTr="00153A3A">
        <w:trPr>
          <w:trHeight w:val="281"/>
        </w:trPr>
        <w:tc>
          <w:tcPr>
            <w:tcW w:w="4926" w:type="dxa"/>
            <w:tcBorders>
              <w:top w:val="nil"/>
              <w:left w:val="nil"/>
              <w:right w:val="nil"/>
            </w:tcBorders>
            <w:shd w:val="clear" w:color="auto" w:fill="auto"/>
            <w:noWrap/>
            <w:vAlign w:val="center"/>
          </w:tcPr>
          <w:p w14:paraId="02AF1ACE" w14:textId="6C2E7117" w:rsidR="00DD7888" w:rsidRPr="00DD162A" w:rsidRDefault="00DD7888" w:rsidP="00DD7888">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Other financing activities</w:t>
            </w:r>
          </w:p>
        </w:tc>
        <w:tc>
          <w:tcPr>
            <w:tcW w:w="1593" w:type="dxa"/>
            <w:tcBorders>
              <w:top w:val="nil"/>
              <w:left w:val="nil"/>
              <w:bottom w:val="single" w:sz="4" w:space="0" w:color="auto"/>
              <w:right w:val="nil"/>
            </w:tcBorders>
            <w:shd w:val="clear" w:color="auto" w:fill="auto"/>
            <w:noWrap/>
            <w:vAlign w:val="center"/>
          </w:tcPr>
          <w:p w14:paraId="12A3F567" w14:textId="1B50F633" w:rsidR="00DD7888" w:rsidRPr="00751993" w:rsidRDefault="00DD7888" w:rsidP="00DD7888">
            <w:pPr>
              <w:jc w:val="right"/>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(108.8)</w:t>
            </w:r>
          </w:p>
        </w:tc>
        <w:tc>
          <w:tcPr>
            <w:tcW w:w="1593" w:type="dxa"/>
            <w:tcBorders>
              <w:top w:val="nil"/>
              <w:left w:val="nil"/>
              <w:bottom w:val="single" w:sz="4" w:space="0" w:color="auto"/>
              <w:right w:val="nil"/>
            </w:tcBorders>
            <w:vAlign w:val="center"/>
          </w:tcPr>
          <w:p w14:paraId="370A3C79" w14:textId="6B73722A" w:rsidR="00DD7888" w:rsidRPr="00751993" w:rsidRDefault="00ED014B" w:rsidP="00DD7888">
            <w:pPr>
              <w:jc w:val="right"/>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w:t>
            </w:r>
          </w:p>
        </w:tc>
        <w:tc>
          <w:tcPr>
            <w:tcW w:w="1594" w:type="dxa"/>
            <w:tcBorders>
              <w:top w:val="nil"/>
              <w:left w:val="nil"/>
              <w:bottom w:val="single" w:sz="4" w:space="0" w:color="auto"/>
              <w:right w:val="nil"/>
            </w:tcBorders>
            <w:vAlign w:val="center"/>
          </w:tcPr>
          <w:p w14:paraId="1EBEC673" w14:textId="46EFB084" w:rsidR="00DD7888" w:rsidRPr="00053DFD" w:rsidRDefault="00ED014B" w:rsidP="00DD7888">
            <w:pPr>
              <w:jc w:val="right"/>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w:t>
            </w:r>
          </w:p>
        </w:tc>
      </w:tr>
      <w:tr w:rsidR="00DD7888" w:rsidRPr="00DD162A" w14:paraId="6453A842" w14:textId="77777777" w:rsidTr="00153A3A">
        <w:trPr>
          <w:trHeight w:val="287"/>
        </w:trPr>
        <w:tc>
          <w:tcPr>
            <w:tcW w:w="4926" w:type="dxa"/>
            <w:tcBorders>
              <w:left w:val="nil"/>
              <w:bottom w:val="nil"/>
              <w:right w:val="nil"/>
            </w:tcBorders>
            <w:shd w:val="clear" w:color="auto" w:fill="auto"/>
            <w:noWrap/>
            <w:vAlign w:val="center"/>
            <w:hideMark/>
          </w:tcPr>
          <w:p w14:paraId="1F619604" w14:textId="77777777" w:rsidR="00DD7888" w:rsidRPr="00DD162A" w:rsidRDefault="00DD7888" w:rsidP="00DD7888">
            <w:pPr>
              <w:rPr>
                <w:rFonts w:ascii="Arial" w:eastAsia="Times New Roman" w:hAnsi="Arial" w:cs="Arial"/>
                <w:color w:val="000000"/>
                <w:sz w:val="20"/>
                <w:szCs w:val="20"/>
                <w:lang w:eastAsia="en-GB"/>
              </w:rPr>
            </w:pPr>
          </w:p>
        </w:tc>
        <w:tc>
          <w:tcPr>
            <w:tcW w:w="1593" w:type="dxa"/>
            <w:tcBorders>
              <w:top w:val="single" w:sz="4" w:space="0" w:color="auto"/>
              <w:left w:val="nil"/>
              <w:bottom w:val="nil"/>
              <w:right w:val="nil"/>
            </w:tcBorders>
            <w:shd w:val="clear" w:color="auto" w:fill="auto"/>
            <w:noWrap/>
            <w:vAlign w:val="center"/>
          </w:tcPr>
          <w:p w14:paraId="7DC4DEEE" w14:textId="77777777" w:rsidR="00DD7888" w:rsidRPr="00751993" w:rsidRDefault="00DD7888" w:rsidP="00DD7888">
            <w:pPr>
              <w:jc w:val="right"/>
              <w:rPr>
                <w:rFonts w:ascii="Arial" w:eastAsia="Times New Roman" w:hAnsi="Arial" w:cs="Arial"/>
                <w:b/>
                <w:bCs/>
                <w:color w:val="000000"/>
                <w:sz w:val="20"/>
                <w:szCs w:val="20"/>
                <w:lang w:eastAsia="en-GB"/>
              </w:rPr>
            </w:pPr>
          </w:p>
        </w:tc>
        <w:tc>
          <w:tcPr>
            <w:tcW w:w="1593" w:type="dxa"/>
            <w:tcBorders>
              <w:top w:val="single" w:sz="4" w:space="0" w:color="auto"/>
              <w:left w:val="nil"/>
              <w:bottom w:val="nil"/>
              <w:right w:val="nil"/>
            </w:tcBorders>
            <w:vAlign w:val="center"/>
          </w:tcPr>
          <w:p w14:paraId="04A95B9B" w14:textId="77777777" w:rsidR="00DD7888" w:rsidRPr="00751993" w:rsidRDefault="00DD7888" w:rsidP="00DD7888">
            <w:pPr>
              <w:jc w:val="right"/>
              <w:rPr>
                <w:rFonts w:ascii="Arial" w:eastAsia="Times New Roman" w:hAnsi="Arial" w:cs="Arial"/>
                <w:b/>
                <w:bCs/>
                <w:color w:val="000000"/>
                <w:sz w:val="20"/>
                <w:szCs w:val="20"/>
                <w:lang w:eastAsia="en-GB"/>
              </w:rPr>
            </w:pPr>
          </w:p>
        </w:tc>
        <w:tc>
          <w:tcPr>
            <w:tcW w:w="1594" w:type="dxa"/>
            <w:tcBorders>
              <w:top w:val="single" w:sz="4" w:space="0" w:color="auto"/>
              <w:left w:val="nil"/>
              <w:bottom w:val="nil"/>
              <w:right w:val="nil"/>
            </w:tcBorders>
            <w:vAlign w:val="center"/>
          </w:tcPr>
          <w:p w14:paraId="702C089F" w14:textId="77777777" w:rsidR="00DD7888" w:rsidRPr="00053DFD" w:rsidRDefault="00DD7888" w:rsidP="00DD7888">
            <w:pPr>
              <w:jc w:val="right"/>
              <w:rPr>
                <w:rFonts w:ascii="Arial" w:eastAsia="Times New Roman" w:hAnsi="Arial" w:cs="Arial"/>
                <w:b/>
                <w:bCs/>
                <w:color w:val="000000"/>
                <w:sz w:val="20"/>
                <w:szCs w:val="20"/>
                <w:lang w:eastAsia="en-GB"/>
              </w:rPr>
            </w:pPr>
          </w:p>
        </w:tc>
      </w:tr>
      <w:tr w:rsidR="00DD7888" w:rsidRPr="00DD162A" w14:paraId="314A7410" w14:textId="77777777" w:rsidTr="00153A3A">
        <w:trPr>
          <w:trHeight w:val="287"/>
        </w:trPr>
        <w:tc>
          <w:tcPr>
            <w:tcW w:w="4926" w:type="dxa"/>
            <w:tcBorders>
              <w:top w:val="nil"/>
              <w:left w:val="nil"/>
              <w:bottom w:val="nil"/>
              <w:right w:val="nil"/>
            </w:tcBorders>
            <w:shd w:val="clear" w:color="auto" w:fill="auto"/>
            <w:noWrap/>
            <w:vAlign w:val="center"/>
          </w:tcPr>
          <w:p w14:paraId="786AC669" w14:textId="77777777" w:rsidR="00DD7888" w:rsidRPr="00DD162A" w:rsidRDefault="00DD7888" w:rsidP="00DD7888">
            <w:pPr>
              <w:rPr>
                <w:rFonts w:ascii="Arial" w:eastAsia="Times New Roman" w:hAnsi="Arial" w:cs="Arial"/>
                <w:color w:val="000000"/>
                <w:sz w:val="20"/>
                <w:szCs w:val="20"/>
                <w:lang w:eastAsia="en-GB"/>
              </w:rPr>
            </w:pPr>
            <w:r w:rsidRPr="00DD162A">
              <w:rPr>
                <w:rFonts w:ascii="Arial" w:eastAsia="Times New Roman" w:hAnsi="Arial" w:cs="Arial"/>
                <w:b/>
                <w:bCs/>
                <w:color w:val="000000"/>
                <w:sz w:val="20"/>
                <w:szCs w:val="20"/>
                <w:lang w:eastAsia="en-GB"/>
              </w:rPr>
              <w:t>Net cash used in financing activities</w:t>
            </w:r>
          </w:p>
        </w:tc>
        <w:tc>
          <w:tcPr>
            <w:tcW w:w="1593" w:type="dxa"/>
            <w:tcBorders>
              <w:top w:val="nil"/>
              <w:left w:val="nil"/>
              <w:bottom w:val="single" w:sz="8" w:space="0" w:color="auto"/>
              <w:right w:val="nil"/>
            </w:tcBorders>
            <w:shd w:val="clear" w:color="auto" w:fill="auto"/>
            <w:noWrap/>
            <w:vAlign w:val="center"/>
          </w:tcPr>
          <w:p w14:paraId="334AB390" w14:textId="454D6202" w:rsidR="00DD7888" w:rsidRPr="00751993" w:rsidRDefault="00ED014B" w:rsidP="00DD7888">
            <w:pPr>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(20,402.4)</w:t>
            </w:r>
          </w:p>
        </w:tc>
        <w:tc>
          <w:tcPr>
            <w:tcW w:w="1593" w:type="dxa"/>
            <w:tcBorders>
              <w:top w:val="nil"/>
              <w:left w:val="nil"/>
              <w:bottom w:val="single" w:sz="8" w:space="0" w:color="auto"/>
              <w:right w:val="nil"/>
            </w:tcBorders>
            <w:vAlign w:val="center"/>
          </w:tcPr>
          <w:p w14:paraId="53D77A3F" w14:textId="5846B447" w:rsidR="00DD7888" w:rsidRPr="00751993" w:rsidRDefault="00DD7888" w:rsidP="00DD7888">
            <w:pPr>
              <w:jc w:val="right"/>
              <w:rPr>
                <w:rFonts w:ascii="Arial" w:eastAsia="Times New Roman" w:hAnsi="Arial" w:cs="Arial"/>
                <w:b/>
                <w:bCs/>
                <w:color w:val="000000"/>
                <w:sz w:val="20"/>
                <w:szCs w:val="20"/>
                <w:lang w:eastAsia="en-GB"/>
              </w:rPr>
            </w:pPr>
            <w:r w:rsidRPr="00751993">
              <w:rPr>
                <w:rFonts w:ascii="Arial" w:eastAsia="Times New Roman" w:hAnsi="Arial" w:cs="Arial"/>
                <w:b/>
                <w:bCs/>
                <w:color w:val="000000"/>
                <w:sz w:val="20"/>
                <w:szCs w:val="20"/>
                <w:lang w:eastAsia="en-GB"/>
              </w:rPr>
              <w:t>(</w:t>
            </w:r>
            <w:r>
              <w:rPr>
                <w:rFonts w:ascii="Arial" w:eastAsia="Times New Roman" w:hAnsi="Arial" w:cs="Arial"/>
                <w:b/>
                <w:bCs/>
                <w:color w:val="000000"/>
                <w:sz w:val="20"/>
                <w:szCs w:val="20"/>
                <w:lang w:eastAsia="en-GB"/>
              </w:rPr>
              <w:t>8,674.8</w:t>
            </w:r>
            <w:r w:rsidRPr="00751993">
              <w:rPr>
                <w:rFonts w:ascii="Arial" w:eastAsia="Times New Roman" w:hAnsi="Arial" w:cs="Arial"/>
                <w:b/>
                <w:bCs/>
                <w:color w:val="000000"/>
                <w:sz w:val="20"/>
                <w:szCs w:val="20"/>
                <w:lang w:eastAsia="en-GB"/>
              </w:rPr>
              <w:t>)</w:t>
            </w:r>
          </w:p>
        </w:tc>
        <w:tc>
          <w:tcPr>
            <w:tcW w:w="1594" w:type="dxa"/>
            <w:tcBorders>
              <w:top w:val="nil"/>
              <w:left w:val="nil"/>
              <w:bottom w:val="single" w:sz="8" w:space="0" w:color="auto"/>
              <w:right w:val="nil"/>
            </w:tcBorders>
            <w:vAlign w:val="center"/>
          </w:tcPr>
          <w:p w14:paraId="0C79A20D" w14:textId="525347C2" w:rsidR="00DD7888" w:rsidRPr="009F3BC6" w:rsidRDefault="00DD7888" w:rsidP="00DD7888">
            <w:pPr>
              <w:jc w:val="right"/>
              <w:rPr>
                <w:rFonts w:ascii="Arial" w:eastAsia="Times New Roman" w:hAnsi="Arial" w:cs="Arial"/>
                <w:b/>
                <w:bCs/>
                <w:color w:val="000000"/>
                <w:sz w:val="20"/>
                <w:szCs w:val="20"/>
                <w:lang w:eastAsia="en-GB"/>
              </w:rPr>
            </w:pPr>
            <w:r w:rsidRPr="009F3BC6">
              <w:rPr>
                <w:rFonts w:ascii="Arial" w:eastAsia="Times New Roman" w:hAnsi="Arial" w:cs="Arial"/>
                <w:b/>
                <w:bCs/>
                <w:color w:val="000000"/>
                <w:sz w:val="20"/>
                <w:szCs w:val="20"/>
                <w:lang w:eastAsia="en-GB"/>
              </w:rPr>
              <w:t>(12,750.0)</w:t>
            </w:r>
          </w:p>
        </w:tc>
      </w:tr>
      <w:tr w:rsidR="00DD7888" w:rsidRPr="00DD162A" w14:paraId="7A6DC173" w14:textId="77777777" w:rsidTr="00153A3A">
        <w:trPr>
          <w:trHeight w:val="281"/>
        </w:trPr>
        <w:tc>
          <w:tcPr>
            <w:tcW w:w="4926" w:type="dxa"/>
            <w:tcBorders>
              <w:top w:val="nil"/>
              <w:left w:val="nil"/>
              <w:bottom w:val="nil"/>
              <w:right w:val="nil"/>
            </w:tcBorders>
            <w:shd w:val="clear" w:color="auto" w:fill="auto"/>
            <w:noWrap/>
            <w:vAlign w:val="center"/>
            <w:hideMark/>
          </w:tcPr>
          <w:p w14:paraId="10534B27" w14:textId="77777777" w:rsidR="00DD7888" w:rsidRPr="00DD162A" w:rsidRDefault="00DD7888" w:rsidP="00DD7888">
            <w:pPr>
              <w:rPr>
                <w:rFonts w:ascii="Arial" w:eastAsia="Times New Roman" w:hAnsi="Arial" w:cs="Arial"/>
                <w:color w:val="000000"/>
                <w:sz w:val="20"/>
                <w:szCs w:val="20"/>
                <w:lang w:eastAsia="en-GB"/>
              </w:rPr>
            </w:pPr>
          </w:p>
        </w:tc>
        <w:tc>
          <w:tcPr>
            <w:tcW w:w="1593" w:type="dxa"/>
            <w:tcBorders>
              <w:top w:val="nil"/>
              <w:left w:val="nil"/>
              <w:bottom w:val="nil"/>
              <w:right w:val="nil"/>
            </w:tcBorders>
            <w:shd w:val="clear" w:color="auto" w:fill="auto"/>
            <w:noWrap/>
            <w:vAlign w:val="center"/>
          </w:tcPr>
          <w:p w14:paraId="6676D9A1" w14:textId="77777777" w:rsidR="00DD7888" w:rsidRPr="00751993" w:rsidRDefault="00DD7888" w:rsidP="00DD7888">
            <w:pPr>
              <w:jc w:val="right"/>
              <w:rPr>
                <w:rFonts w:ascii="Arial" w:eastAsia="Times New Roman" w:hAnsi="Arial" w:cs="Arial"/>
                <w:b/>
                <w:bCs/>
                <w:color w:val="000000"/>
                <w:sz w:val="20"/>
                <w:szCs w:val="20"/>
                <w:lang w:eastAsia="en-GB"/>
              </w:rPr>
            </w:pPr>
          </w:p>
        </w:tc>
        <w:tc>
          <w:tcPr>
            <w:tcW w:w="1593" w:type="dxa"/>
            <w:tcBorders>
              <w:top w:val="nil"/>
              <w:left w:val="nil"/>
              <w:bottom w:val="nil"/>
              <w:right w:val="nil"/>
            </w:tcBorders>
            <w:vAlign w:val="center"/>
          </w:tcPr>
          <w:p w14:paraId="7887D3BF" w14:textId="77777777" w:rsidR="00DD7888" w:rsidRPr="00751993" w:rsidRDefault="00DD7888" w:rsidP="00DD7888">
            <w:pPr>
              <w:jc w:val="right"/>
              <w:rPr>
                <w:rFonts w:ascii="Arial" w:eastAsia="Times New Roman" w:hAnsi="Arial" w:cs="Arial"/>
                <w:b/>
                <w:bCs/>
                <w:color w:val="000000"/>
                <w:sz w:val="20"/>
                <w:szCs w:val="20"/>
                <w:lang w:eastAsia="en-GB"/>
              </w:rPr>
            </w:pPr>
          </w:p>
        </w:tc>
        <w:tc>
          <w:tcPr>
            <w:tcW w:w="1594" w:type="dxa"/>
            <w:tcBorders>
              <w:top w:val="nil"/>
              <w:left w:val="nil"/>
              <w:bottom w:val="nil"/>
              <w:right w:val="nil"/>
            </w:tcBorders>
            <w:vAlign w:val="center"/>
          </w:tcPr>
          <w:p w14:paraId="0DD33390" w14:textId="77777777" w:rsidR="00DD7888" w:rsidRPr="00053DFD" w:rsidRDefault="00DD7888" w:rsidP="00DD7888">
            <w:pPr>
              <w:jc w:val="right"/>
              <w:rPr>
                <w:rFonts w:ascii="Arial" w:eastAsia="Times New Roman" w:hAnsi="Arial" w:cs="Arial"/>
                <w:b/>
                <w:bCs/>
                <w:color w:val="000000"/>
                <w:sz w:val="20"/>
                <w:szCs w:val="20"/>
                <w:lang w:eastAsia="en-GB"/>
              </w:rPr>
            </w:pPr>
          </w:p>
        </w:tc>
      </w:tr>
      <w:tr w:rsidR="00DD7888" w:rsidRPr="00DD162A" w14:paraId="591238AA" w14:textId="77777777" w:rsidTr="00153A3A">
        <w:trPr>
          <w:trHeight w:val="85"/>
        </w:trPr>
        <w:tc>
          <w:tcPr>
            <w:tcW w:w="4926" w:type="dxa"/>
            <w:tcBorders>
              <w:top w:val="nil"/>
              <w:left w:val="nil"/>
              <w:bottom w:val="nil"/>
              <w:right w:val="nil"/>
            </w:tcBorders>
            <w:shd w:val="clear" w:color="auto" w:fill="auto"/>
            <w:noWrap/>
            <w:vAlign w:val="center"/>
            <w:hideMark/>
          </w:tcPr>
          <w:p w14:paraId="5FA34413" w14:textId="77777777" w:rsidR="00DD7888" w:rsidRPr="00DD162A" w:rsidRDefault="00DD7888" w:rsidP="00DD7888">
            <w:pPr>
              <w:rPr>
                <w:rFonts w:ascii="Arial" w:eastAsia="Times New Roman" w:hAnsi="Arial" w:cs="Arial"/>
                <w:b/>
                <w:bCs/>
                <w:color w:val="000000"/>
                <w:sz w:val="20"/>
                <w:szCs w:val="20"/>
                <w:lang w:eastAsia="en-GB"/>
              </w:rPr>
            </w:pPr>
            <w:r w:rsidRPr="00DD162A">
              <w:rPr>
                <w:rFonts w:ascii="Arial" w:eastAsia="Times New Roman" w:hAnsi="Arial" w:cs="Arial"/>
                <w:color w:val="000000"/>
                <w:sz w:val="20"/>
                <w:szCs w:val="20"/>
                <w:lang w:eastAsia="en-GB"/>
              </w:rPr>
              <w:t>Net increase in cash and cash equivalents</w:t>
            </w:r>
          </w:p>
        </w:tc>
        <w:tc>
          <w:tcPr>
            <w:tcW w:w="1593" w:type="dxa"/>
            <w:tcBorders>
              <w:top w:val="nil"/>
              <w:left w:val="nil"/>
              <w:bottom w:val="nil"/>
              <w:right w:val="nil"/>
            </w:tcBorders>
            <w:shd w:val="clear" w:color="auto" w:fill="auto"/>
            <w:vAlign w:val="center"/>
          </w:tcPr>
          <w:p w14:paraId="15776AF1" w14:textId="312990EF" w:rsidR="00DD7888" w:rsidRPr="00751993" w:rsidRDefault="00ED014B" w:rsidP="00DD7888">
            <w:pPr>
              <w:jc w:val="right"/>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14,438.7</w:t>
            </w:r>
          </w:p>
        </w:tc>
        <w:tc>
          <w:tcPr>
            <w:tcW w:w="1593" w:type="dxa"/>
            <w:tcBorders>
              <w:top w:val="nil"/>
              <w:left w:val="nil"/>
              <w:bottom w:val="nil"/>
              <w:right w:val="nil"/>
            </w:tcBorders>
            <w:vAlign w:val="center"/>
          </w:tcPr>
          <w:p w14:paraId="214E5175" w14:textId="2B7EE24F" w:rsidR="00DD7888" w:rsidRPr="00751993" w:rsidRDefault="00DD7888" w:rsidP="00DD7888">
            <w:pPr>
              <w:jc w:val="right"/>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5,545.0</w:t>
            </w:r>
          </w:p>
        </w:tc>
        <w:tc>
          <w:tcPr>
            <w:tcW w:w="1594" w:type="dxa"/>
            <w:tcBorders>
              <w:top w:val="nil"/>
              <w:left w:val="nil"/>
              <w:bottom w:val="nil"/>
              <w:right w:val="nil"/>
            </w:tcBorders>
            <w:vAlign w:val="center"/>
          </w:tcPr>
          <w:p w14:paraId="5497A7EE" w14:textId="113A7410" w:rsidR="00DD7888" w:rsidRPr="00053DFD" w:rsidRDefault="00DD7888" w:rsidP="00DD7888">
            <w:pPr>
              <w:jc w:val="right"/>
              <w:rPr>
                <w:rFonts w:ascii="Arial" w:eastAsia="Times New Roman" w:hAnsi="Arial" w:cs="Arial"/>
                <w:bCs/>
                <w:color w:val="000000"/>
                <w:sz w:val="20"/>
                <w:szCs w:val="20"/>
                <w:lang w:eastAsia="en-GB"/>
              </w:rPr>
            </w:pPr>
            <w:r>
              <w:rPr>
                <w:rFonts w:ascii="Arial" w:eastAsia="Times New Roman" w:hAnsi="Arial" w:cs="Arial"/>
                <w:color w:val="000000"/>
                <w:sz w:val="20"/>
                <w:szCs w:val="20"/>
                <w:lang w:eastAsia="en-GB"/>
              </w:rPr>
              <w:t>31,740.3</w:t>
            </w:r>
          </w:p>
        </w:tc>
      </w:tr>
      <w:tr w:rsidR="00DD7888" w:rsidRPr="00DD162A" w14:paraId="3B32F698" w14:textId="77777777" w:rsidTr="00153A3A">
        <w:trPr>
          <w:trHeight w:val="85"/>
        </w:trPr>
        <w:tc>
          <w:tcPr>
            <w:tcW w:w="4926" w:type="dxa"/>
            <w:tcBorders>
              <w:top w:val="nil"/>
              <w:left w:val="nil"/>
              <w:bottom w:val="nil"/>
              <w:right w:val="nil"/>
            </w:tcBorders>
            <w:shd w:val="clear" w:color="auto" w:fill="auto"/>
            <w:noWrap/>
            <w:vAlign w:val="center"/>
          </w:tcPr>
          <w:p w14:paraId="2B14BE7B" w14:textId="77777777" w:rsidR="00DD7888" w:rsidRPr="00DD162A" w:rsidRDefault="00DD7888" w:rsidP="00DD7888">
            <w:pPr>
              <w:rPr>
                <w:rFonts w:ascii="Arial" w:eastAsia="Times New Roman" w:hAnsi="Arial" w:cs="Arial"/>
                <w:color w:val="000000"/>
                <w:sz w:val="20"/>
                <w:szCs w:val="20"/>
                <w:lang w:eastAsia="en-GB"/>
              </w:rPr>
            </w:pPr>
          </w:p>
        </w:tc>
        <w:tc>
          <w:tcPr>
            <w:tcW w:w="1593" w:type="dxa"/>
            <w:tcBorders>
              <w:top w:val="nil"/>
              <w:left w:val="nil"/>
              <w:bottom w:val="nil"/>
              <w:right w:val="nil"/>
            </w:tcBorders>
            <w:shd w:val="clear" w:color="auto" w:fill="auto"/>
            <w:vAlign w:val="center"/>
          </w:tcPr>
          <w:p w14:paraId="55DC3DAA" w14:textId="77777777" w:rsidR="00DD7888" w:rsidRDefault="00DD7888" w:rsidP="00DD7888">
            <w:pPr>
              <w:jc w:val="right"/>
              <w:rPr>
                <w:rFonts w:ascii="Arial" w:eastAsia="Times New Roman" w:hAnsi="Arial" w:cs="Arial"/>
                <w:bCs/>
                <w:color w:val="000000"/>
                <w:sz w:val="20"/>
                <w:szCs w:val="20"/>
                <w:lang w:eastAsia="en-GB"/>
              </w:rPr>
            </w:pPr>
          </w:p>
        </w:tc>
        <w:tc>
          <w:tcPr>
            <w:tcW w:w="1593" w:type="dxa"/>
            <w:tcBorders>
              <w:top w:val="nil"/>
              <w:left w:val="nil"/>
              <w:bottom w:val="nil"/>
              <w:right w:val="nil"/>
            </w:tcBorders>
            <w:vAlign w:val="center"/>
          </w:tcPr>
          <w:p w14:paraId="7D367972" w14:textId="77777777" w:rsidR="00DD7888" w:rsidRPr="00751993" w:rsidRDefault="00DD7888" w:rsidP="00DD7888">
            <w:pPr>
              <w:jc w:val="right"/>
              <w:rPr>
                <w:rFonts w:ascii="Arial" w:eastAsia="Times New Roman" w:hAnsi="Arial" w:cs="Arial"/>
                <w:bCs/>
                <w:color w:val="000000"/>
                <w:sz w:val="20"/>
                <w:szCs w:val="20"/>
                <w:lang w:eastAsia="en-GB"/>
              </w:rPr>
            </w:pPr>
          </w:p>
        </w:tc>
        <w:tc>
          <w:tcPr>
            <w:tcW w:w="1594" w:type="dxa"/>
            <w:tcBorders>
              <w:top w:val="nil"/>
              <w:left w:val="nil"/>
              <w:bottom w:val="nil"/>
              <w:right w:val="nil"/>
            </w:tcBorders>
            <w:vAlign w:val="center"/>
          </w:tcPr>
          <w:p w14:paraId="2DDE10B0" w14:textId="77777777" w:rsidR="00DD7888" w:rsidRDefault="00DD7888" w:rsidP="00DD7888">
            <w:pPr>
              <w:jc w:val="right"/>
              <w:rPr>
                <w:rFonts w:ascii="Arial" w:eastAsia="Times New Roman" w:hAnsi="Arial" w:cs="Arial"/>
                <w:bCs/>
                <w:color w:val="000000"/>
                <w:sz w:val="20"/>
                <w:szCs w:val="20"/>
                <w:lang w:eastAsia="en-GB"/>
              </w:rPr>
            </w:pPr>
          </w:p>
        </w:tc>
      </w:tr>
      <w:tr w:rsidR="00DD7888" w:rsidRPr="00DD162A" w14:paraId="6CC93E42" w14:textId="77777777" w:rsidTr="00153A3A">
        <w:trPr>
          <w:trHeight w:val="281"/>
        </w:trPr>
        <w:tc>
          <w:tcPr>
            <w:tcW w:w="4926" w:type="dxa"/>
            <w:tcBorders>
              <w:top w:val="nil"/>
              <w:left w:val="nil"/>
              <w:bottom w:val="nil"/>
              <w:right w:val="nil"/>
            </w:tcBorders>
            <w:shd w:val="clear" w:color="auto" w:fill="auto"/>
            <w:vAlign w:val="center"/>
            <w:hideMark/>
          </w:tcPr>
          <w:p w14:paraId="2D2B0A13" w14:textId="77777777" w:rsidR="00DD7888" w:rsidRPr="00DD162A" w:rsidRDefault="00DD7888" w:rsidP="00DD7888">
            <w:pPr>
              <w:rPr>
                <w:rFonts w:ascii="Arial" w:eastAsia="Times New Roman" w:hAnsi="Arial" w:cs="Arial"/>
                <w:color w:val="000000"/>
                <w:sz w:val="20"/>
                <w:szCs w:val="20"/>
                <w:lang w:eastAsia="en-GB"/>
              </w:rPr>
            </w:pPr>
            <w:r w:rsidRPr="00DD162A">
              <w:rPr>
                <w:rFonts w:ascii="Arial" w:eastAsia="Times New Roman" w:hAnsi="Arial" w:cs="Arial"/>
                <w:color w:val="000000"/>
                <w:sz w:val="20"/>
                <w:szCs w:val="20"/>
                <w:lang w:eastAsia="en-GB"/>
              </w:rPr>
              <w:t>Cash and cash equivalents at beginning of period</w:t>
            </w:r>
          </w:p>
        </w:tc>
        <w:tc>
          <w:tcPr>
            <w:tcW w:w="1593" w:type="dxa"/>
            <w:tcBorders>
              <w:top w:val="nil"/>
              <w:left w:val="nil"/>
              <w:bottom w:val="single" w:sz="8" w:space="0" w:color="auto"/>
              <w:right w:val="nil"/>
            </w:tcBorders>
            <w:shd w:val="clear" w:color="auto" w:fill="auto"/>
            <w:vAlign w:val="center"/>
          </w:tcPr>
          <w:p w14:paraId="672E411C" w14:textId="643B226A" w:rsidR="00DD7888" w:rsidRPr="00751993" w:rsidRDefault="00ED014B" w:rsidP="00DD7888">
            <w:pPr>
              <w:jc w:val="right"/>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89,721.1</w:t>
            </w:r>
          </w:p>
        </w:tc>
        <w:tc>
          <w:tcPr>
            <w:tcW w:w="1593" w:type="dxa"/>
            <w:tcBorders>
              <w:top w:val="nil"/>
              <w:left w:val="nil"/>
              <w:bottom w:val="single" w:sz="8" w:space="0" w:color="auto"/>
              <w:right w:val="nil"/>
            </w:tcBorders>
            <w:vAlign w:val="center"/>
          </w:tcPr>
          <w:p w14:paraId="7484B093" w14:textId="3DBCB45C" w:rsidR="00DD7888" w:rsidRPr="00751993" w:rsidRDefault="00DD7888" w:rsidP="00DD7888">
            <w:pPr>
              <w:jc w:val="right"/>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56,959.5</w:t>
            </w:r>
          </w:p>
        </w:tc>
        <w:tc>
          <w:tcPr>
            <w:tcW w:w="1594" w:type="dxa"/>
            <w:tcBorders>
              <w:top w:val="nil"/>
              <w:left w:val="nil"/>
              <w:bottom w:val="single" w:sz="8" w:space="0" w:color="auto"/>
              <w:right w:val="nil"/>
            </w:tcBorders>
            <w:vAlign w:val="center"/>
          </w:tcPr>
          <w:p w14:paraId="2176FCB4" w14:textId="74C9A079" w:rsidR="00DD7888" w:rsidRPr="00053DFD" w:rsidRDefault="00DD7888" w:rsidP="00DD7888">
            <w:pPr>
              <w:jc w:val="right"/>
              <w:rPr>
                <w:rFonts w:ascii="Arial" w:eastAsia="Times New Roman" w:hAnsi="Arial" w:cs="Arial"/>
                <w:bCs/>
                <w:color w:val="000000"/>
                <w:sz w:val="20"/>
                <w:szCs w:val="20"/>
                <w:lang w:eastAsia="en-GB"/>
              </w:rPr>
            </w:pPr>
            <w:r w:rsidRPr="004F3092">
              <w:rPr>
                <w:rFonts w:ascii="Arial" w:eastAsia="Times New Roman" w:hAnsi="Arial" w:cs="Arial"/>
                <w:color w:val="000000"/>
                <w:sz w:val="20"/>
                <w:szCs w:val="20"/>
                <w:lang w:eastAsia="en-GB"/>
              </w:rPr>
              <w:t>56,959.5</w:t>
            </w:r>
          </w:p>
        </w:tc>
      </w:tr>
      <w:tr w:rsidR="00DD7888" w:rsidRPr="00DD162A" w14:paraId="2FEE7E17" w14:textId="77777777" w:rsidTr="00153A3A">
        <w:trPr>
          <w:trHeight w:val="281"/>
        </w:trPr>
        <w:tc>
          <w:tcPr>
            <w:tcW w:w="4926" w:type="dxa"/>
            <w:tcBorders>
              <w:top w:val="nil"/>
              <w:left w:val="nil"/>
              <w:bottom w:val="nil"/>
              <w:right w:val="nil"/>
            </w:tcBorders>
            <w:shd w:val="clear" w:color="auto" w:fill="auto"/>
            <w:noWrap/>
            <w:vAlign w:val="center"/>
            <w:hideMark/>
          </w:tcPr>
          <w:p w14:paraId="3EFAC215" w14:textId="77777777" w:rsidR="00DD7888" w:rsidRDefault="00DD7888" w:rsidP="00DD7888">
            <w:pPr>
              <w:rPr>
                <w:rFonts w:ascii="Arial" w:eastAsia="Times New Roman" w:hAnsi="Arial" w:cs="Arial"/>
                <w:color w:val="000000"/>
                <w:sz w:val="20"/>
                <w:szCs w:val="20"/>
                <w:lang w:eastAsia="en-GB"/>
              </w:rPr>
            </w:pPr>
          </w:p>
          <w:p w14:paraId="22C2184F" w14:textId="6564380F" w:rsidR="00DD7888" w:rsidRDefault="00DD7888" w:rsidP="00DD7888">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Effect of movements in exchange rates on cash held</w:t>
            </w:r>
          </w:p>
          <w:p w14:paraId="7F666501" w14:textId="34F47F3D" w:rsidR="00DD7888" w:rsidRPr="00DD162A" w:rsidRDefault="00DD7888" w:rsidP="00DD7888">
            <w:pPr>
              <w:rPr>
                <w:rFonts w:ascii="Arial" w:eastAsia="Times New Roman" w:hAnsi="Arial" w:cs="Arial"/>
                <w:color w:val="000000"/>
                <w:sz w:val="20"/>
                <w:szCs w:val="20"/>
                <w:lang w:eastAsia="en-GB"/>
              </w:rPr>
            </w:pPr>
          </w:p>
        </w:tc>
        <w:tc>
          <w:tcPr>
            <w:tcW w:w="1593" w:type="dxa"/>
            <w:tcBorders>
              <w:top w:val="nil"/>
              <w:left w:val="nil"/>
              <w:bottom w:val="nil"/>
              <w:right w:val="nil"/>
            </w:tcBorders>
            <w:shd w:val="clear" w:color="auto" w:fill="auto"/>
            <w:noWrap/>
            <w:vAlign w:val="center"/>
          </w:tcPr>
          <w:p w14:paraId="163DE176" w14:textId="6A870585" w:rsidR="00DD7888" w:rsidRPr="00ED014B" w:rsidRDefault="00ED014B" w:rsidP="00DD7888">
            <w:pPr>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r w:rsidRPr="00ED014B">
              <w:rPr>
                <w:rFonts w:ascii="Arial" w:eastAsia="Times New Roman" w:hAnsi="Arial" w:cs="Arial"/>
                <w:color w:val="000000"/>
                <w:sz w:val="20"/>
                <w:szCs w:val="20"/>
                <w:lang w:eastAsia="en-GB"/>
              </w:rPr>
              <w:t>63.</w:t>
            </w:r>
            <w:r>
              <w:rPr>
                <w:rFonts w:ascii="Arial" w:eastAsia="Times New Roman" w:hAnsi="Arial" w:cs="Arial"/>
                <w:color w:val="000000"/>
                <w:sz w:val="20"/>
                <w:szCs w:val="20"/>
                <w:lang w:eastAsia="en-GB"/>
              </w:rPr>
              <w:t>1)</w:t>
            </w:r>
          </w:p>
        </w:tc>
        <w:tc>
          <w:tcPr>
            <w:tcW w:w="1593" w:type="dxa"/>
            <w:tcBorders>
              <w:top w:val="nil"/>
              <w:left w:val="nil"/>
              <w:bottom w:val="nil"/>
              <w:right w:val="nil"/>
            </w:tcBorders>
            <w:vAlign w:val="center"/>
          </w:tcPr>
          <w:p w14:paraId="5EFF165A" w14:textId="2A2CC9B9" w:rsidR="00DD7888" w:rsidRPr="00751993" w:rsidRDefault="00DD7888" w:rsidP="00DD7888">
            <w:pPr>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w:t>
            </w:r>
          </w:p>
        </w:tc>
        <w:tc>
          <w:tcPr>
            <w:tcW w:w="1594" w:type="dxa"/>
            <w:tcBorders>
              <w:top w:val="nil"/>
              <w:left w:val="nil"/>
              <w:bottom w:val="nil"/>
              <w:right w:val="nil"/>
            </w:tcBorders>
            <w:vAlign w:val="center"/>
          </w:tcPr>
          <w:p w14:paraId="7B095428" w14:textId="29D2E751" w:rsidR="00DD7888" w:rsidRPr="00053DFD" w:rsidRDefault="00DD7888" w:rsidP="00DD7888">
            <w:pPr>
              <w:jc w:val="right"/>
              <w:rPr>
                <w:rFonts w:ascii="Arial" w:eastAsia="Times New Roman" w:hAnsi="Arial" w:cs="Arial"/>
                <w:b/>
                <w:bCs/>
                <w:color w:val="000000"/>
                <w:sz w:val="20"/>
                <w:szCs w:val="20"/>
                <w:lang w:eastAsia="en-GB"/>
              </w:rPr>
            </w:pPr>
            <w:r>
              <w:rPr>
                <w:rFonts w:ascii="Arial" w:eastAsia="Times New Roman" w:hAnsi="Arial" w:cs="Arial"/>
                <w:sz w:val="20"/>
                <w:szCs w:val="20"/>
                <w:lang w:eastAsia="en-GB"/>
              </w:rPr>
              <w:t>1,021.3</w:t>
            </w:r>
          </w:p>
        </w:tc>
      </w:tr>
      <w:tr w:rsidR="00DD7888" w:rsidRPr="00DD162A" w14:paraId="7AD1B038" w14:textId="77777777" w:rsidTr="00153A3A">
        <w:trPr>
          <w:trHeight w:val="287"/>
        </w:trPr>
        <w:tc>
          <w:tcPr>
            <w:tcW w:w="4926" w:type="dxa"/>
            <w:tcBorders>
              <w:top w:val="nil"/>
              <w:left w:val="nil"/>
              <w:bottom w:val="nil"/>
              <w:right w:val="nil"/>
            </w:tcBorders>
            <w:shd w:val="clear" w:color="auto" w:fill="auto"/>
            <w:noWrap/>
            <w:vAlign w:val="center"/>
            <w:hideMark/>
          </w:tcPr>
          <w:p w14:paraId="6B68000F" w14:textId="77777777" w:rsidR="00DD7888" w:rsidRPr="00DD162A" w:rsidRDefault="00DD7888" w:rsidP="00DD7888">
            <w:pPr>
              <w:rPr>
                <w:rFonts w:ascii="Arial" w:eastAsia="Times New Roman" w:hAnsi="Arial" w:cs="Arial"/>
                <w:color w:val="000000"/>
                <w:sz w:val="20"/>
                <w:szCs w:val="20"/>
                <w:lang w:eastAsia="en-GB"/>
              </w:rPr>
            </w:pPr>
            <w:r w:rsidRPr="00DD162A">
              <w:rPr>
                <w:rFonts w:ascii="Arial" w:eastAsia="Times New Roman" w:hAnsi="Arial" w:cs="Arial"/>
                <w:b/>
                <w:bCs/>
                <w:color w:val="000000"/>
                <w:sz w:val="20"/>
                <w:szCs w:val="20"/>
                <w:lang w:eastAsia="en-GB"/>
              </w:rPr>
              <w:t>Cash and cash equivalents at end of period</w:t>
            </w:r>
          </w:p>
        </w:tc>
        <w:tc>
          <w:tcPr>
            <w:tcW w:w="1593" w:type="dxa"/>
            <w:tcBorders>
              <w:top w:val="nil"/>
              <w:left w:val="nil"/>
              <w:bottom w:val="single" w:sz="8" w:space="0" w:color="auto"/>
              <w:right w:val="nil"/>
            </w:tcBorders>
            <w:shd w:val="clear" w:color="auto" w:fill="auto"/>
            <w:noWrap/>
            <w:vAlign w:val="center"/>
          </w:tcPr>
          <w:p w14:paraId="0FD73923" w14:textId="592C1880" w:rsidR="00DD7888" w:rsidRPr="002D64D4" w:rsidRDefault="00ED014B" w:rsidP="00DD7888">
            <w:pPr>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104,096.7</w:t>
            </w:r>
          </w:p>
        </w:tc>
        <w:tc>
          <w:tcPr>
            <w:tcW w:w="1593" w:type="dxa"/>
            <w:tcBorders>
              <w:top w:val="nil"/>
              <w:left w:val="nil"/>
              <w:bottom w:val="single" w:sz="8" w:space="0" w:color="auto"/>
              <w:right w:val="nil"/>
            </w:tcBorders>
            <w:vAlign w:val="center"/>
          </w:tcPr>
          <w:p w14:paraId="4EB7A697" w14:textId="0B600817" w:rsidR="00DD7888" w:rsidRPr="00751993" w:rsidRDefault="00DD7888" w:rsidP="00DD7888">
            <w:pPr>
              <w:jc w:val="right"/>
              <w:rPr>
                <w:rFonts w:ascii="Arial" w:eastAsia="Times New Roman" w:hAnsi="Arial" w:cs="Arial"/>
                <w:b/>
                <w:bCs/>
                <w:color w:val="000000"/>
                <w:sz w:val="20"/>
                <w:szCs w:val="20"/>
                <w:lang w:eastAsia="en-GB"/>
              </w:rPr>
            </w:pPr>
            <w:r w:rsidRPr="00B82B88">
              <w:rPr>
                <w:rFonts w:ascii="Arial" w:eastAsia="Times New Roman" w:hAnsi="Arial" w:cs="Arial"/>
                <w:b/>
                <w:bCs/>
                <w:color w:val="000000"/>
                <w:sz w:val="20"/>
                <w:szCs w:val="20"/>
                <w:lang w:eastAsia="en-GB"/>
              </w:rPr>
              <w:t>62,504.5</w:t>
            </w:r>
          </w:p>
        </w:tc>
        <w:tc>
          <w:tcPr>
            <w:tcW w:w="1594" w:type="dxa"/>
            <w:tcBorders>
              <w:top w:val="nil"/>
              <w:left w:val="nil"/>
              <w:bottom w:val="single" w:sz="8" w:space="0" w:color="auto"/>
              <w:right w:val="nil"/>
            </w:tcBorders>
            <w:vAlign w:val="center"/>
          </w:tcPr>
          <w:p w14:paraId="767ED581" w14:textId="00E065E5" w:rsidR="00DD7888" w:rsidRPr="009F3BC6" w:rsidRDefault="00DD7888" w:rsidP="00DD7888">
            <w:pPr>
              <w:jc w:val="right"/>
              <w:rPr>
                <w:rFonts w:ascii="Arial" w:eastAsia="Times New Roman" w:hAnsi="Arial" w:cs="Arial"/>
                <w:b/>
                <w:bCs/>
                <w:color w:val="000000"/>
                <w:sz w:val="20"/>
                <w:szCs w:val="20"/>
                <w:lang w:eastAsia="en-GB"/>
              </w:rPr>
            </w:pPr>
            <w:r w:rsidRPr="009F3BC6">
              <w:rPr>
                <w:rFonts w:ascii="Arial" w:eastAsia="Times New Roman" w:hAnsi="Arial" w:cs="Arial"/>
                <w:b/>
                <w:bCs/>
                <w:sz w:val="20"/>
                <w:szCs w:val="20"/>
                <w:lang w:eastAsia="en-GB"/>
              </w:rPr>
              <w:t>89,721.1</w:t>
            </w:r>
          </w:p>
        </w:tc>
      </w:tr>
    </w:tbl>
    <w:p w14:paraId="124B358C" w14:textId="77777777" w:rsidR="000F7919" w:rsidRPr="00DD162A" w:rsidRDefault="000F7919" w:rsidP="000F7919">
      <w:pPr>
        <w:spacing w:after="160" w:line="259" w:lineRule="auto"/>
        <w:rPr>
          <w:rFonts w:ascii="Arial" w:hAnsi="Arial" w:cs="Arial"/>
          <w:b/>
          <w:sz w:val="20"/>
          <w:szCs w:val="20"/>
        </w:rPr>
      </w:pPr>
      <w:r w:rsidRPr="00DD162A">
        <w:rPr>
          <w:rFonts w:ascii="Arial" w:hAnsi="Arial" w:cs="Arial"/>
          <w:b/>
          <w:sz w:val="20"/>
          <w:szCs w:val="20"/>
        </w:rPr>
        <w:br w:type="page"/>
      </w:r>
      <w:r w:rsidRPr="007B6D33">
        <w:rPr>
          <w:rFonts w:ascii="Arial" w:hAnsi="Arial" w:cs="Arial"/>
          <w:b/>
          <w:sz w:val="20"/>
          <w:szCs w:val="20"/>
        </w:rPr>
        <w:t>Notes to the consolidated financial</w:t>
      </w:r>
      <w:r>
        <w:rPr>
          <w:rFonts w:ascii="Arial" w:hAnsi="Arial" w:cs="Arial"/>
          <w:b/>
          <w:sz w:val="20"/>
          <w:szCs w:val="20"/>
        </w:rPr>
        <w:t xml:space="preserve"> information</w:t>
      </w:r>
    </w:p>
    <w:p w14:paraId="6A51E90A" w14:textId="76994EAE" w:rsidR="000F7919" w:rsidRPr="00DD162A" w:rsidRDefault="000F7919" w:rsidP="000F7919">
      <w:pPr>
        <w:ind w:left="142"/>
        <w:jc w:val="both"/>
        <w:rPr>
          <w:rFonts w:ascii="Arial" w:hAnsi="Arial" w:cs="Arial"/>
          <w:b/>
          <w:sz w:val="20"/>
          <w:szCs w:val="20"/>
        </w:rPr>
      </w:pPr>
      <w:r w:rsidRPr="00DD162A">
        <w:rPr>
          <w:rFonts w:ascii="Arial" w:hAnsi="Arial" w:cs="Arial"/>
          <w:b/>
          <w:sz w:val="20"/>
          <w:szCs w:val="20"/>
        </w:rPr>
        <w:t>For t</w:t>
      </w:r>
      <w:r>
        <w:rPr>
          <w:rFonts w:ascii="Arial" w:hAnsi="Arial" w:cs="Arial"/>
          <w:b/>
          <w:sz w:val="20"/>
          <w:szCs w:val="20"/>
        </w:rPr>
        <w:t>he six months ended 30 June 201</w:t>
      </w:r>
      <w:r w:rsidR="00641C89">
        <w:rPr>
          <w:rFonts w:ascii="Arial" w:hAnsi="Arial" w:cs="Arial"/>
          <w:b/>
          <w:sz w:val="20"/>
          <w:szCs w:val="20"/>
        </w:rPr>
        <w:t>9</w:t>
      </w:r>
    </w:p>
    <w:p w14:paraId="636612C7" w14:textId="77777777" w:rsidR="000F7919" w:rsidRDefault="000F7919" w:rsidP="000F7919">
      <w:pPr>
        <w:pStyle w:val="ListParagraph"/>
        <w:tabs>
          <w:tab w:val="left" w:pos="426"/>
        </w:tabs>
        <w:ind w:left="142"/>
        <w:rPr>
          <w:rFonts w:ascii="Arial" w:hAnsi="Arial" w:cs="Arial"/>
          <w:b/>
          <w:sz w:val="20"/>
          <w:szCs w:val="20"/>
        </w:rPr>
      </w:pPr>
    </w:p>
    <w:p w14:paraId="5DEB3694" w14:textId="77777777" w:rsidR="000F7919" w:rsidRPr="00DD162A" w:rsidRDefault="000F7919" w:rsidP="000F7919">
      <w:pPr>
        <w:pStyle w:val="ListParagraph"/>
        <w:tabs>
          <w:tab w:val="left" w:pos="426"/>
        </w:tabs>
        <w:ind w:left="142"/>
        <w:rPr>
          <w:rFonts w:ascii="Arial" w:hAnsi="Arial" w:cs="Arial"/>
          <w:b/>
          <w:sz w:val="20"/>
          <w:szCs w:val="20"/>
        </w:rPr>
      </w:pPr>
    </w:p>
    <w:p w14:paraId="2399C740" w14:textId="08225AB2" w:rsidR="000F7919" w:rsidRPr="00DD162A" w:rsidRDefault="000F7919" w:rsidP="000F7919">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200" w:line="276" w:lineRule="auto"/>
        <w:ind w:left="142" w:firstLine="0"/>
        <w:rPr>
          <w:rFonts w:ascii="Arial" w:hAnsi="Arial" w:cs="Arial"/>
          <w:b/>
          <w:sz w:val="20"/>
          <w:szCs w:val="20"/>
        </w:rPr>
      </w:pPr>
      <w:r w:rsidRPr="00DD162A">
        <w:rPr>
          <w:rFonts w:ascii="Arial" w:hAnsi="Arial" w:cs="Arial"/>
          <w:b/>
          <w:sz w:val="20"/>
          <w:szCs w:val="20"/>
        </w:rPr>
        <w:t xml:space="preserve">Basis </w:t>
      </w:r>
      <w:r w:rsidR="003454CB">
        <w:rPr>
          <w:rFonts w:ascii="Arial" w:hAnsi="Arial" w:cs="Arial"/>
          <w:b/>
          <w:sz w:val="20"/>
          <w:szCs w:val="20"/>
        </w:rPr>
        <w:t>of</w:t>
      </w:r>
      <w:r w:rsidR="003454CB" w:rsidRPr="00DD162A">
        <w:rPr>
          <w:rFonts w:ascii="Arial" w:hAnsi="Arial" w:cs="Arial"/>
          <w:b/>
          <w:sz w:val="20"/>
          <w:szCs w:val="20"/>
        </w:rPr>
        <w:t xml:space="preserve"> </w:t>
      </w:r>
      <w:r w:rsidRPr="00DD162A">
        <w:rPr>
          <w:rFonts w:ascii="Arial" w:hAnsi="Arial" w:cs="Arial"/>
          <w:b/>
          <w:sz w:val="20"/>
          <w:szCs w:val="20"/>
        </w:rPr>
        <w:t>preparation</w:t>
      </w:r>
      <w:r w:rsidR="003A428C">
        <w:rPr>
          <w:rFonts w:ascii="Arial" w:hAnsi="Arial" w:cs="Arial"/>
          <w:b/>
          <w:sz w:val="20"/>
          <w:szCs w:val="20"/>
        </w:rPr>
        <w:t xml:space="preserve"> and accounting policies</w:t>
      </w:r>
    </w:p>
    <w:p w14:paraId="5D7DA2E9" w14:textId="40D9D2AE" w:rsidR="000F7919" w:rsidRDefault="000F7919" w:rsidP="000F7919">
      <w:pPr>
        <w:tabs>
          <w:tab w:val="left" w:pos="142"/>
        </w:tabs>
        <w:ind w:left="142"/>
        <w:jc w:val="both"/>
        <w:rPr>
          <w:rFonts w:ascii="Arial" w:hAnsi="Arial" w:cs="Arial"/>
          <w:sz w:val="20"/>
          <w:szCs w:val="20"/>
        </w:rPr>
      </w:pPr>
      <w:r w:rsidRPr="00C20428">
        <w:rPr>
          <w:rFonts w:ascii="Arial" w:hAnsi="Arial" w:cs="Arial"/>
          <w:sz w:val="20"/>
          <w:szCs w:val="20"/>
        </w:rPr>
        <w:t xml:space="preserve">The interim financial </w:t>
      </w:r>
      <w:r w:rsidR="0015438F">
        <w:rPr>
          <w:rFonts w:ascii="Arial" w:hAnsi="Arial" w:cs="Arial"/>
          <w:sz w:val="20"/>
          <w:szCs w:val="20"/>
        </w:rPr>
        <w:t>information has</w:t>
      </w:r>
      <w:r w:rsidRPr="00C20428">
        <w:rPr>
          <w:rFonts w:ascii="Arial" w:hAnsi="Arial" w:cs="Arial"/>
          <w:sz w:val="20"/>
          <w:szCs w:val="20"/>
        </w:rPr>
        <w:t xml:space="preserve"> been prepared in accordance with the recognition and measurement requirements of International Financial Reporting Standards (IFRS) and IFRIC interpretations issued by the International Accounting Standards Board (IASB) adopted by the European Union.</w:t>
      </w:r>
    </w:p>
    <w:p w14:paraId="7F7431BA" w14:textId="27A4A894" w:rsidR="004821EE" w:rsidRDefault="004821EE" w:rsidP="000F7919">
      <w:pPr>
        <w:tabs>
          <w:tab w:val="left" w:pos="142"/>
        </w:tabs>
        <w:ind w:left="142"/>
        <w:jc w:val="both"/>
        <w:rPr>
          <w:rFonts w:ascii="Arial" w:hAnsi="Arial" w:cs="Arial"/>
          <w:sz w:val="20"/>
          <w:szCs w:val="20"/>
        </w:rPr>
      </w:pPr>
    </w:p>
    <w:p w14:paraId="4D8E8EED" w14:textId="198A980F" w:rsidR="001E5C67" w:rsidRDefault="004821EE" w:rsidP="001E5C67">
      <w:pPr>
        <w:tabs>
          <w:tab w:val="left" w:pos="142"/>
        </w:tabs>
        <w:ind w:left="142"/>
        <w:jc w:val="both"/>
        <w:rPr>
          <w:rFonts w:ascii="Arial" w:hAnsi="Arial" w:cs="Arial"/>
          <w:sz w:val="20"/>
          <w:szCs w:val="20"/>
        </w:rPr>
      </w:pPr>
      <w:r>
        <w:rPr>
          <w:rFonts w:ascii="Arial" w:hAnsi="Arial" w:cs="Arial"/>
          <w:sz w:val="20"/>
          <w:szCs w:val="20"/>
        </w:rPr>
        <w:t xml:space="preserve">The principal accounting policies adopted in the preparation of the interim financial information are unchanged from those applied in the company’s financial statements for the year ended 31 December 2018 except for those relating to IFRS 16 Leases, which is applicable for periods starting on or after 1 January 2019. The accounting policies applied herein are consistent with those expected to be applied in the financial statements for the year ended 31 December 2019. </w:t>
      </w:r>
    </w:p>
    <w:p w14:paraId="3F9ECC7F" w14:textId="77777777" w:rsidR="001E5C67" w:rsidRDefault="001E5C67" w:rsidP="000F7919">
      <w:pPr>
        <w:tabs>
          <w:tab w:val="left" w:pos="142"/>
        </w:tabs>
        <w:ind w:left="142"/>
        <w:jc w:val="both"/>
        <w:rPr>
          <w:rFonts w:ascii="Arial" w:hAnsi="Arial" w:cs="Arial"/>
          <w:sz w:val="20"/>
          <w:szCs w:val="20"/>
        </w:rPr>
      </w:pPr>
    </w:p>
    <w:p w14:paraId="601BCFE4" w14:textId="0668C265" w:rsidR="00D2035E" w:rsidRDefault="00BA422D" w:rsidP="000F7919">
      <w:pPr>
        <w:tabs>
          <w:tab w:val="left" w:pos="142"/>
        </w:tabs>
        <w:ind w:left="142"/>
        <w:jc w:val="both"/>
        <w:rPr>
          <w:rFonts w:ascii="Arial" w:hAnsi="Arial" w:cs="Arial"/>
          <w:sz w:val="20"/>
          <w:szCs w:val="20"/>
        </w:rPr>
      </w:pPr>
      <w:r>
        <w:rPr>
          <w:rFonts w:ascii="Arial" w:hAnsi="Arial" w:cs="Arial"/>
          <w:sz w:val="20"/>
          <w:szCs w:val="20"/>
        </w:rPr>
        <w:t xml:space="preserve">IFRS 16 </w:t>
      </w:r>
      <w:r w:rsidR="001E5C67">
        <w:rPr>
          <w:rFonts w:ascii="Arial" w:hAnsi="Arial" w:cs="Arial"/>
          <w:sz w:val="20"/>
          <w:szCs w:val="20"/>
        </w:rPr>
        <w:t xml:space="preserve">has </w:t>
      </w:r>
      <w:r>
        <w:rPr>
          <w:rFonts w:ascii="Arial" w:hAnsi="Arial" w:cs="Arial"/>
          <w:sz w:val="20"/>
          <w:szCs w:val="20"/>
        </w:rPr>
        <w:t>introduced a single, on-balance sheet accounting model for lessees</w:t>
      </w:r>
      <w:r w:rsidR="001E5C67">
        <w:rPr>
          <w:rFonts w:ascii="Arial" w:hAnsi="Arial" w:cs="Arial"/>
          <w:sz w:val="20"/>
          <w:szCs w:val="20"/>
        </w:rPr>
        <w:t>, eliminating the distinction between operating and finance leases</w:t>
      </w:r>
      <w:r>
        <w:rPr>
          <w:rFonts w:ascii="Arial" w:hAnsi="Arial" w:cs="Arial"/>
          <w:sz w:val="20"/>
          <w:szCs w:val="20"/>
        </w:rPr>
        <w:t xml:space="preserve">. As a result, the Group has </w:t>
      </w:r>
      <w:r w:rsidR="001E5C67">
        <w:rPr>
          <w:rFonts w:ascii="Arial" w:hAnsi="Arial" w:cs="Arial"/>
          <w:sz w:val="20"/>
          <w:szCs w:val="20"/>
        </w:rPr>
        <w:t>recognised</w:t>
      </w:r>
      <w:r>
        <w:rPr>
          <w:rFonts w:ascii="Arial" w:hAnsi="Arial" w:cs="Arial"/>
          <w:sz w:val="20"/>
          <w:szCs w:val="20"/>
        </w:rPr>
        <w:t xml:space="preserve"> </w:t>
      </w:r>
      <w:r w:rsidR="001E5C67">
        <w:rPr>
          <w:rFonts w:ascii="Arial" w:hAnsi="Arial" w:cs="Arial"/>
          <w:sz w:val="20"/>
          <w:szCs w:val="20"/>
        </w:rPr>
        <w:t xml:space="preserve">a number of </w:t>
      </w:r>
      <w:r>
        <w:rPr>
          <w:rFonts w:ascii="Arial" w:hAnsi="Arial" w:cs="Arial"/>
          <w:sz w:val="20"/>
          <w:szCs w:val="20"/>
        </w:rPr>
        <w:t xml:space="preserve">right-of-use assets </w:t>
      </w:r>
      <w:r w:rsidR="001E5C67">
        <w:rPr>
          <w:rFonts w:ascii="Arial" w:hAnsi="Arial" w:cs="Arial"/>
          <w:sz w:val="20"/>
          <w:szCs w:val="20"/>
        </w:rPr>
        <w:t>and corresponding lease liabilities</w:t>
      </w:r>
      <w:r>
        <w:rPr>
          <w:rFonts w:ascii="Arial" w:hAnsi="Arial" w:cs="Arial"/>
          <w:sz w:val="20"/>
          <w:szCs w:val="20"/>
        </w:rPr>
        <w:t>.</w:t>
      </w:r>
      <w:r w:rsidR="003161CF">
        <w:rPr>
          <w:rFonts w:ascii="Arial" w:hAnsi="Arial" w:cs="Arial"/>
          <w:sz w:val="20"/>
          <w:szCs w:val="20"/>
        </w:rPr>
        <w:t xml:space="preserve"> These are included within property, plant and equipment and loans and borrowings respectively on the balance sheet.</w:t>
      </w:r>
      <w:r>
        <w:rPr>
          <w:rFonts w:ascii="Arial" w:hAnsi="Arial" w:cs="Arial"/>
          <w:sz w:val="20"/>
          <w:szCs w:val="20"/>
        </w:rPr>
        <w:t xml:space="preserve"> </w:t>
      </w:r>
      <w:r w:rsidRPr="001E5C67">
        <w:rPr>
          <w:rFonts w:ascii="Arial" w:hAnsi="Arial" w:cs="Arial"/>
          <w:sz w:val="20"/>
          <w:szCs w:val="20"/>
        </w:rPr>
        <w:t xml:space="preserve">Right of use assets are initially measured at cost, and subsequently measured at cost less any accumulated depreciation and </w:t>
      </w:r>
      <w:r w:rsidR="001E5C67" w:rsidRPr="001E5C67">
        <w:rPr>
          <w:rFonts w:ascii="Arial" w:hAnsi="Arial" w:cs="Arial"/>
          <w:sz w:val="20"/>
          <w:szCs w:val="20"/>
        </w:rPr>
        <w:t xml:space="preserve">accumulated </w:t>
      </w:r>
      <w:r w:rsidRPr="001E5C67">
        <w:rPr>
          <w:rFonts w:ascii="Arial" w:hAnsi="Arial" w:cs="Arial"/>
          <w:sz w:val="20"/>
          <w:szCs w:val="20"/>
        </w:rPr>
        <w:t>impairment losses</w:t>
      </w:r>
      <w:r w:rsidR="001E5C67" w:rsidRPr="001E5C67">
        <w:rPr>
          <w:rFonts w:ascii="Arial" w:hAnsi="Arial" w:cs="Arial"/>
          <w:sz w:val="20"/>
          <w:szCs w:val="20"/>
        </w:rPr>
        <w:t xml:space="preserve">, if </w:t>
      </w:r>
      <w:r w:rsidR="00301665">
        <w:rPr>
          <w:rFonts w:ascii="Arial" w:hAnsi="Arial" w:cs="Arial"/>
          <w:sz w:val="20"/>
          <w:szCs w:val="20"/>
        </w:rPr>
        <w:t>applicable</w:t>
      </w:r>
      <w:r w:rsidRPr="001E5C67">
        <w:rPr>
          <w:rFonts w:ascii="Arial" w:hAnsi="Arial" w:cs="Arial"/>
          <w:sz w:val="20"/>
          <w:szCs w:val="20"/>
        </w:rPr>
        <w:t>.</w:t>
      </w:r>
      <w:r>
        <w:rPr>
          <w:rFonts w:ascii="Arial" w:hAnsi="Arial" w:cs="Arial"/>
          <w:sz w:val="20"/>
          <w:szCs w:val="20"/>
        </w:rPr>
        <w:t xml:space="preserve"> </w:t>
      </w:r>
      <w:r w:rsidR="001E5C67">
        <w:rPr>
          <w:rFonts w:ascii="Arial" w:hAnsi="Arial" w:cs="Arial"/>
          <w:sz w:val="20"/>
          <w:szCs w:val="20"/>
        </w:rPr>
        <w:t>L</w:t>
      </w:r>
      <w:r>
        <w:rPr>
          <w:rFonts w:ascii="Arial" w:hAnsi="Arial" w:cs="Arial"/>
          <w:sz w:val="20"/>
          <w:szCs w:val="20"/>
        </w:rPr>
        <w:t>ease liabilit</w:t>
      </w:r>
      <w:r w:rsidR="001E5C67">
        <w:rPr>
          <w:rFonts w:ascii="Arial" w:hAnsi="Arial" w:cs="Arial"/>
          <w:sz w:val="20"/>
          <w:szCs w:val="20"/>
        </w:rPr>
        <w:t>ies are</w:t>
      </w:r>
      <w:r>
        <w:rPr>
          <w:rFonts w:ascii="Arial" w:hAnsi="Arial" w:cs="Arial"/>
          <w:sz w:val="20"/>
          <w:szCs w:val="20"/>
        </w:rPr>
        <w:t xml:space="preserve"> initially measured at the present value of the</w:t>
      </w:r>
      <w:r w:rsidR="00D2035E">
        <w:rPr>
          <w:rFonts w:ascii="Arial" w:hAnsi="Arial" w:cs="Arial"/>
          <w:sz w:val="20"/>
          <w:szCs w:val="20"/>
        </w:rPr>
        <w:t xml:space="preserve"> future</w:t>
      </w:r>
      <w:r>
        <w:rPr>
          <w:rFonts w:ascii="Arial" w:hAnsi="Arial" w:cs="Arial"/>
          <w:sz w:val="20"/>
          <w:szCs w:val="20"/>
        </w:rPr>
        <w:t xml:space="preserve"> lease payments</w:t>
      </w:r>
      <w:r w:rsidR="00D2035E">
        <w:rPr>
          <w:rFonts w:ascii="Arial" w:hAnsi="Arial" w:cs="Arial"/>
          <w:sz w:val="20"/>
          <w:szCs w:val="20"/>
        </w:rPr>
        <w:t xml:space="preserve"> discounted at </w:t>
      </w:r>
      <w:r>
        <w:rPr>
          <w:rFonts w:ascii="Arial" w:hAnsi="Arial" w:cs="Arial"/>
          <w:sz w:val="20"/>
          <w:szCs w:val="20"/>
        </w:rPr>
        <w:t>the incremental borrowing rate</w:t>
      </w:r>
      <w:r w:rsidR="00D2035E">
        <w:rPr>
          <w:rFonts w:ascii="Arial" w:hAnsi="Arial" w:cs="Arial"/>
          <w:sz w:val="20"/>
          <w:szCs w:val="20"/>
        </w:rPr>
        <w:t xml:space="preserve"> specific to that lease</w:t>
      </w:r>
      <w:r>
        <w:rPr>
          <w:rFonts w:ascii="Arial" w:hAnsi="Arial" w:cs="Arial"/>
          <w:sz w:val="20"/>
          <w:szCs w:val="20"/>
        </w:rPr>
        <w:t xml:space="preserve">. </w:t>
      </w:r>
      <w:r w:rsidR="00D2035E">
        <w:rPr>
          <w:rFonts w:ascii="Arial" w:hAnsi="Arial" w:cs="Arial"/>
          <w:sz w:val="20"/>
          <w:szCs w:val="20"/>
        </w:rPr>
        <w:t xml:space="preserve">Lease liabilities are subsequently measured at amortised cost using the effective interest rate method. </w:t>
      </w:r>
    </w:p>
    <w:p w14:paraId="67136EEB" w14:textId="77777777" w:rsidR="00D2035E" w:rsidRDefault="00D2035E" w:rsidP="000F7919">
      <w:pPr>
        <w:tabs>
          <w:tab w:val="left" w:pos="142"/>
        </w:tabs>
        <w:ind w:left="142"/>
        <w:jc w:val="both"/>
        <w:rPr>
          <w:rFonts w:ascii="Arial" w:hAnsi="Arial" w:cs="Arial"/>
          <w:sz w:val="20"/>
          <w:szCs w:val="20"/>
        </w:rPr>
      </w:pPr>
    </w:p>
    <w:p w14:paraId="78B3D274" w14:textId="463624C2" w:rsidR="00BA422D" w:rsidRPr="00C20428" w:rsidRDefault="00BA422D" w:rsidP="000F7919">
      <w:pPr>
        <w:tabs>
          <w:tab w:val="left" w:pos="142"/>
        </w:tabs>
        <w:ind w:left="142"/>
        <w:jc w:val="both"/>
        <w:rPr>
          <w:rFonts w:ascii="Arial" w:hAnsi="Arial" w:cs="Arial"/>
          <w:sz w:val="20"/>
          <w:szCs w:val="20"/>
        </w:rPr>
      </w:pPr>
      <w:r>
        <w:rPr>
          <w:rFonts w:ascii="Arial" w:hAnsi="Arial" w:cs="Arial"/>
          <w:sz w:val="20"/>
          <w:szCs w:val="20"/>
        </w:rPr>
        <w:t>The Group has applied IFRS 16 using the modified retrospective approach</w:t>
      </w:r>
      <w:r w:rsidR="00451589">
        <w:rPr>
          <w:rFonts w:ascii="Arial" w:hAnsi="Arial" w:cs="Arial"/>
          <w:sz w:val="20"/>
          <w:szCs w:val="20"/>
        </w:rPr>
        <w:t>;</w:t>
      </w:r>
      <w:r w:rsidR="00D2035E">
        <w:rPr>
          <w:rFonts w:ascii="Arial" w:hAnsi="Arial" w:cs="Arial"/>
          <w:sz w:val="20"/>
          <w:szCs w:val="20"/>
        </w:rPr>
        <w:t xml:space="preserve"> a</w:t>
      </w:r>
      <w:r>
        <w:rPr>
          <w:rFonts w:ascii="Arial" w:hAnsi="Arial" w:cs="Arial"/>
          <w:sz w:val="20"/>
          <w:szCs w:val="20"/>
        </w:rPr>
        <w:t>ccordingly</w:t>
      </w:r>
      <w:r w:rsidR="00F97386">
        <w:rPr>
          <w:rFonts w:ascii="Arial" w:hAnsi="Arial" w:cs="Arial"/>
          <w:sz w:val="20"/>
          <w:szCs w:val="20"/>
        </w:rPr>
        <w:t>,</w:t>
      </w:r>
      <w:r>
        <w:rPr>
          <w:rFonts w:ascii="Arial" w:hAnsi="Arial" w:cs="Arial"/>
          <w:sz w:val="20"/>
          <w:szCs w:val="20"/>
        </w:rPr>
        <w:t xml:space="preserve"> the comparative information presented for 2018 has not been restated – i.e. it is presented, as previously reported, under IAS 17 and related interpretations. The Group applied the </w:t>
      </w:r>
      <w:r w:rsidR="00DA43F0">
        <w:rPr>
          <w:rFonts w:ascii="Arial" w:hAnsi="Arial" w:cs="Arial"/>
          <w:sz w:val="20"/>
          <w:szCs w:val="20"/>
        </w:rPr>
        <w:t>practical expedients permitted by IFRS 16 of not</w:t>
      </w:r>
      <w:r>
        <w:rPr>
          <w:rFonts w:ascii="Arial" w:hAnsi="Arial" w:cs="Arial"/>
          <w:sz w:val="20"/>
          <w:szCs w:val="20"/>
        </w:rPr>
        <w:t xml:space="preserve"> recognis</w:t>
      </w:r>
      <w:r w:rsidR="00DA43F0">
        <w:rPr>
          <w:rFonts w:ascii="Arial" w:hAnsi="Arial" w:cs="Arial"/>
          <w:sz w:val="20"/>
          <w:szCs w:val="20"/>
        </w:rPr>
        <w:t>ing</w:t>
      </w:r>
      <w:r>
        <w:rPr>
          <w:rFonts w:ascii="Arial" w:hAnsi="Arial" w:cs="Arial"/>
          <w:sz w:val="20"/>
          <w:szCs w:val="20"/>
        </w:rPr>
        <w:t xml:space="preserve"> right-of-use assets and liabilities for leases with less than 12 months of lease term</w:t>
      </w:r>
      <w:r w:rsidR="003161CF">
        <w:rPr>
          <w:rFonts w:ascii="Arial" w:hAnsi="Arial" w:cs="Arial"/>
          <w:sz w:val="20"/>
          <w:szCs w:val="20"/>
        </w:rPr>
        <w:t xml:space="preserve"> remaining</w:t>
      </w:r>
      <w:r w:rsidR="00270827">
        <w:rPr>
          <w:rFonts w:ascii="Arial" w:hAnsi="Arial" w:cs="Arial"/>
          <w:sz w:val="20"/>
          <w:szCs w:val="20"/>
        </w:rPr>
        <w:t xml:space="preserve">, and of applying a single discount rate to a portfolio of leases with reasonably similar characteristics. </w:t>
      </w:r>
    </w:p>
    <w:p w14:paraId="37DFBB7B" w14:textId="1453C471" w:rsidR="000F7919" w:rsidRDefault="000F7919" w:rsidP="000F7919">
      <w:pPr>
        <w:ind w:left="142"/>
        <w:rPr>
          <w:rFonts w:ascii="Arial" w:hAnsi="Arial" w:cs="Arial"/>
          <w:sz w:val="20"/>
          <w:szCs w:val="20"/>
        </w:rPr>
      </w:pPr>
    </w:p>
    <w:p w14:paraId="0DED727F" w14:textId="70927199" w:rsidR="000F7919" w:rsidRDefault="00DA43F0" w:rsidP="000F7919">
      <w:pPr>
        <w:ind w:left="142"/>
        <w:rPr>
          <w:rFonts w:ascii="Arial" w:hAnsi="Arial" w:cs="Arial"/>
          <w:sz w:val="20"/>
          <w:szCs w:val="20"/>
        </w:rPr>
      </w:pPr>
      <w:r>
        <w:rPr>
          <w:rFonts w:ascii="Arial" w:hAnsi="Arial" w:cs="Arial"/>
          <w:sz w:val="20"/>
          <w:szCs w:val="20"/>
        </w:rPr>
        <w:t>T</w:t>
      </w:r>
      <w:r w:rsidR="000F7919" w:rsidRPr="00C20428">
        <w:rPr>
          <w:rFonts w:ascii="Arial" w:hAnsi="Arial" w:cs="Arial"/>
          <w:sz w:val="20"/>
          <w:szCs w:val="20"/>
        </w:rPr>
        <w:t xml:space="preserve">his report is not prepared in accordance with IAS 34.  The financial information does not constitute statutory accounts within the meaning of section 435 of the Companies Act 2006. Statutory accounts for Fevertree Drinks </w:t>
      </w:r>
      <w:r w:rsidR="001A2E58">
        <w:rPr>
          <w:rFonts w:ascii="Arial" w:hAnsi="Arial" w:cs="Arial"/>
          <w:sz w:val="20"/>
          <w:szCs w:val="20"/>
        </w:rPr>
        <w:t>p</w:t>
      </w:r>
      <w:r w:rsidR="000F7919" w:rsidRPr="00C20428">
        <w:rPr>
          <w:rFonts w:ascii="Arial" w:hAnsi="Arial" w:cs="Arial"/>
          <w:sz w:val="20"/>
          <w:szCs w:val="20"/>
        </w:rPr>
        <w:t>lc for</w:t>
      </w:r>
      <w:r w:rsidR="000F7919">
        <w:rPr>
          <w:rFonts w:ascii="Arial" w:hAnsi="Arial" w:cs="Arial"/>
          <w:sz w:val="20"/>
          <w:szCs w:val="20"/>
        </w:rPr>
        <w:t xml:space="preserve"> the year ended 31 December 201</w:t>
      </w:r>
      <w:r w:rsidR="002140EC">
        <w:rPr>
          <w:rFonts w:ascii="Arial" w:hAnsi="Arial" w:cs="Arial"/>
          <w:sz w:val="20"/>
          <w:szCs w:val="20"/>
        </w:rPr>
        <w:t>8</w:t>
      </w:r>
      <w:r w:rsidR="000F7919" w:rsidRPr="00C20428">
        <w:rPr>
          <w:rFonts w:ascii="Arial" w:hAnsi="Arial" w:cs="Arial"/>
          <w:sz w:val="20"/>
          <w:szCs w:val="20"/>
        </w:rPr>
        <w:t xml:space="preserve"> have been delivered to the Registrar of Companies. The auditor</w:t>
      </w:r>
      <w:r w:rsidR="004821EE">
        <w:rPr>
          <w:rFonts w:ascii="Arial" w:hAnsi="Arial" w:cs="Arial"/>
          <w:sz w:val="20"/>
          <w:szCs w:val="20"/>
        </w:rPr>
        <w:t>’</w:t>
      </w:r>
      <w:r w:rsidR="000F7919" w:rsidRPr="00C20428">
        <w:rPr>
          <w:rFonts w:ascii="Arial" w:hAnsi="Arial" w:cs="Arial"/>
          <w:sz w:val="20"/>
          <w:szCs w:val="20"/>
        </w:rPr>
        <w:t>s report on those accounts was unqualified, did not draw attention to any matters by way of emphasis and did not contain a statement under Section 498 (2) or (3) of the Companies Act 2006.</w:t>
      </w:r>
    </w:p>
    <w:p w14:paraId="6380BEA4" w14:textId="5D1E83C0" w:rsidR="003454CB" w:rsidRDefault="003454CB" w:rsidP="000F7919">
      <w:pPr>
        <w:ind w:left="142"/>
        <w:rPr>
          <w:rFonts w:ascii="Arial" w:hAnsi="Arial" w:cs="Arial"/>
          <w:sz w:val="20"/>
          <w:szCs w:val="20"/>
        </w:rPr>
      </w:pPr>
    </w:p>
    <w:p w14:paraId="76B14559" w14:textId="5B0EEA63" w:rsidR="003454CB" w:rsidRDefault="003454CB">
      <w:pPr>
        <w:ind w:left="142"/>
        <w:rPr>
          <w:rFonts w:ascii="Arial" w:hAnsi="Arial" w:cs="Arial"/>
          <w:sz w:val="20"/>
          <w:szCs w:val="20"/>
        </w:rPr>
      </w:pPr>
      <w:r>
        <w:rPr>
          <w:rFonts w:ascii="Arial" w:hAnsi="Arial" w:cs="Arial"/>
          <w:sz w:val="20"/>
          <w:szCs w:val="20"/>
        </w:rPr>
        <w:t>Adjusted EBITDA</w:t>
      </w:r>
      <w:r w:rsidR="003A428C">
        <w:rPr>
          <w:rFonts w:ascii="Arial" w:hAnsi="Arial" w:cs="Arial"/>
          <w:sz w:val="20"/>
          <w:szCs w:val="20"/>
        </w:rPr>
        <w:t xml:space="preserve"> has been calculated consistently with the method applied in the </w:t>
      </w:r>
      <w:r w:rsidR="004821EE">
        <w:rPr>
          <w:rFonts w:ascii="Arial" w:hAnsi="Arial" w:cs="Arial"/>
          <w:sz w:val="20"/>
          <w:szCs w:val="20"/>
        </w:rPr>
        <w:t>financial statements for the year ended 31 December 2018.</w:t>
      </w:r>
      <w:r w:rsidR="003A428C">
        <w:rPr>
          <w:rFonts w:ascii="Arial" w:hAnsi="Arial" w:cs="Arial"/>
          <w:sz w:val="20"/>
          <w:szCs w:val="20"/>
        </w:rPr>
        <w:t xml:space="preserve"> Operating profit is adjusted for a number of </w:t>
      </w:r>
      <w:r w:rsidR="00C579F1">
        <w:rPr>
          <w:rFonts w:ascii="Arial" w:hAnsi="Arial" w:cs="Arial"/>
          <w:sz w:val="20"/>
          <w:szCs w:val="20"/>
        </w:rPr>
        <w:t>non-cash items</w:t>
      </w:r>
      <w:r w:rsidR="003A428C" w:rsidRPr="003A428C">
        <w:rPr>
          <w:rFonts w:ascii="Arial" w:hAnsi="Arial" w:cs="Arial"/>
          <w:sz w:val="20"/>
          <w:szCs w:val="20"/>
        </w:rPr>
        <w:t>, including</w:t>
      </w:r>
      <w:r w:rsidR="003A428C">
        <w:rPr>
          <w:rFonts w:ascii="Arial" w:hAnsi="Arial" w:cs="Arial"/>
          <w:sz w:val="20"/>
          <w:szCs w:val="20"/>
        </w:rPr>
        <w:t xml:space="preserve"> </w:t>
      </w:r>
      <w:r w:rsidR="003A428C" w:rsidRPr="003A428C">
        <w:rPr>
          <w:rFonts w:ascii="Arial" w:hAnsi="Arial" w:cs="Arial"/>
          <w:sz w:val="20"/>
          <w:szCs w:val="20"/>
        </w:rPr>
        <w:t>amortisation of the Fever-Tree brand intangible acquired</w:t>
      </w:r>
      <w:r w:rsidR="003A428C">
        <w:rPr>
          <w:rFonts w:ascii="Arial" w:hAnsi="Arial" w:cs="Arial"/>
          <w:sz w:val="20"/>
          <w:szCs w:val="20"/>
        </w:rPr>
        <w:t xml:space="preserve"> </w:t>
      </w:r>
      <w:r w:rsidR="003A428C" w:rsidRPr="003A428C">
        <w:rPr>
          <w:rFonts w:ascii="Arial" w:hAnsi="Arial" w:cs="Arial"/>
          <w:sz w:val="20"/>
          <w:szCs w:val="20"/>
        </w:rPr>
        <w:t>in March 2013, depreciation, and the share</w:t>
      </w:r>
      <w:r w:rsidR="004821EE">
        <w:rPr>
          <w:rFonts w:ascii="Arial" w:hAnsi="Arial" w:cs="Arial"/>
          <w:sz w:val="20"/>
          <w:szCs w:val="20"/>
        </w:rPr>
        <w:t>-</w:t>
      </w:r>
      <w:r w:rsidR="003A428C" w:rsidRPr="003A428C">
        <w:rPr>
          <w:rFonts w:ascii="Arial" w:hAnsi="Arial" w:cs="Arial"/>
          <w:sz w:val="20"/>
          <w:szCs w:val="20"/>
        </w:rPr>
        <w:t>based payment charge which recognises the fair value of share options granted. The intention is for adjusted</w:t>
      </w:r>
      <w:r w:rsidR="003A428C">
        <w:rPr>
          <w:rFonts w:ascii="Arial" w:hAnsi="Arial" w:cs="Arial"/>
          <w:sz w:val="20"/>
          <w:szCs w:val="20"/>
        </w:rPr>
        <w:t xml:space="preserve"> </w:t>
      </w:r>
      <w:r w:rsidR="003A428C" w:rsidRPr="003A428C">
        <w:rPr>
          <w:rFonts w:ascii="Arial" w:hAnsi="Arial" w:cs="Arial"/>
          <w:sz w:val="20"/>
          <w:szCs w:val="20"/>
        </w:rPr>
        <w:t>EBITDA to provide a comparable, year on year indicator of underlying trading and operational performance.</w:t>
      </w:r>
      <w:r w:rsidR="003A428C">
        <w:rPr>
          <w:rFonts w:ascii="Arial" w:hAnsi="Arial" w:cs="Arial"/>
          <w:sz w:val="20"/>
          <w:szCs w:val="20"/>
        </w:rPr>
        <w:t xml:space="preserve">  </w:t>
      </w:r>
    </w:p>
    <w:p w14:paraId="694E29BB" w14:textId="77777777" w:rsidR="000F7919" w:rsidRDefault="000F7919" w:rsidP="000F7919">
      <w:pPr>
        <w:ind w:left="142"/>
        <w:rPr>
          <w:rFonts w:ascii="Arial" w:hAnsi="Arial" w:cs="Arial"/>
          <w:sz w:val="20"/>
          <w:szCs w:val="20"/>
        </w:rPr>
      </w:pPr>
    </w:p>
    <w:p w14:paraId="76A3E297" w14:textId="267054A7" w:rsidR="00EA3540" w:rsidRDefault="00EA3540">
      <w:pPr>
        <w:rPr>
          <w:rFonts w:ascii="Arial" w:hAnsi="Arial" w:cs="Arial"/>
          <w:sz w:val="20"/>
          <w:szCs w:val="20"/>
        </w:rPr>
      </w:pPr>
      <w:r>
        <w:rPr>
          <w:rFonts w:ascii="Arial" w:hAnsi="Arial" w:cs="Arial"/>
          <w:sz w:val="20"/>
          <w:szCs w:val="20"/>
        </w:rPr>
        <w:br w:type="page"/>
      </w:r>
    </w:p>
    <w:p w14:paraId="3E6C55D2" w14:textId="77777777" w:rsidR="000F7919" w:rsidRPr="00B147BD" w:rsidRDefault="000F7919" w:rsidP="000F7919">
      <w:pPr>
        <w:ind w:left="142"/>
        <w:rPr>
          <w:rFonts w:ascii="Arial" w:hAnsi="Arial" w:cs="Arial"/>
          <w:sz w:val="20"/>
          <w:szCs w:val="20"/>
        </w:rPr>
      </w:pPr>
    </w:p>
    <w:p w14:paraId="0838BE22" w14:textId="77777777" w:rsidR="000F7919" w:rsidRPr="00DD162A" w:rsidRDefault="000F7919" w:rsidP="000F7919">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200" w:line="276" w:lineRule="auto"/>
        <w:ind w:left="142" w:firstLine="0"/>
        <w:rPr>
          <w:rFonts w:ascii="Arial" w:hAnsi="Arial" w:cs="Arial"/>
          <w:b/>
          <w:sz w:val="20"/>
          <w:szCs w:val="20"/>
        </w:rPr>
      </w:pPr>
      <w:r w:rsidRPr="00DD162A">
        <w:rPr>
          <w:rFonts w:ascii="Arial" w:hAnsi="Arial" w:cs="Arial"/>
          <w:b/>
          <w:sz w:val="20"/>
          <w:szCs w:val="20"/>
        </w:rPr>
        <w:t>Revenue</w:t>
      </w:r>
    </w:p>
    <w:p w14:paraId="03E2DAD3" w14:textId="77777777" w:rsidR="000F7919" w:rsidRDefault="000F7919" w:rsidP="000F7919">
      <w:pPr>
        <w:tabs>
          <w:tab w:val="left" w:pos="426"/>
        </w:tabs>
        <w:ind w:left="142"/>
        <w:rPr>
          <w:rFonts w:ascii="Arial" w:eastAsia="Times New Roman" w:hAnsi="Arial" w:cs="Arial"/>
          <w:color w:val="000000"/>
          <w:sz w:val="20"/>
          <w:szCs w:val="20"/>
          <w:lang w:eastAsia="en-GB"/>
        </w:rPr>
      </w:pPr>
      <w:r w:rsidRPr="00DD162A">
        <w:rPr>
          <w:rFonts w:ascii="Arial" w:eastAsia="Times New Roman" w:hAnsi="Arial" w:cs="Arial"/>
          <w:color w:val="000000"/>
          <w:sz w:val="20"/>
          <w:szCs w:val="20"/>
          <w:lang w:eastAsia="en-GB"/>
        </w:rPr>
        <w:t>An analysis of turnover by geographical market is given below:</w:t>
      </w:r>
    </w:p>
    <w:p w14:paraId="30F1742B" w14:textId="77777777" w:rsidR="000F7919" w:rsidRPr="00DD162A" w:rsidRDefault="000F7919" w:rsidP="000F7919">
      <w:pPr>
        <w:tabs>
          <w:tab w:val="left" w:pos="426"/>
        </w:tabs>
        <w:ind w:left="142"/>
        <w:rPr>
          <w:rFonts w:ascii="Arial" w:eastAsia="Times New Roman" w:hAnsi="Arial" w:cs="Arial"/>
          <w:color w:val="000000"/>
          <w:sz w:val="20"/>
          <w:szCs w:val="20"/>
          <w:lang w:eastAsia="en-GB"/>
        </w:rPr>
      </w:pPr>
    </w:p>
    <w:tbl>
      <w:tblPr>
        <w:tblW w:w="8964" w:type="dxa"/>
        <w:tblInd w:w="108" w:type="dxa"/>
        <w:tblLayout w:type="fixed"/>
        <w:tblLook w:val="04A0" w:firstRow="1" w:lastRow="0" w:firstColumn="1" w:lastColumn="0" w:noHBand="0" w:noVBand="1"/>
      </w:tblPr>
      <w:tblGrid>
        <w:gridCol w:w="4428"/>
        <w:gridCol w:w="1512"/>
        <w:gridCol w:w="1512"/>
        <w:gridCol w:w="1512"/>
      </w:tblGrid>
      <w:tr w:rsidR="000F7919" w:rsidRPr="00DD162A" w14:paraId="7C53D87B" w14:textId="77777777" w:rsidTr="00B82B88">
        <w:trPr>
          <w:trHeight w:val="288"/>
        </w:trPr>
        <w:tc>
          <w:tcPr>
            <w:tcW w:w="4428" w:type="dxa"/>
            <w:vMerge w:val="restart"/>
            <w:tcBorders>
              <w:top w:val="nil"/>
              <w:left w:val="nil"/>
              <w:bottom w:val="nil"/>
              <w:right w:val="nil"/>
            </w:tcBorders>
            <w:shd w:val="clear" w:color="auto" w:fill="auto"/>
            <w:noWrap/>
            <w:vAlign w:val="bottom"/>
            <w:hideMark/>
          </w:tcPr>
          <w:p w14:paraId="3A027335" w14:textId="77777777" w:rsidR="000F7919" w:rsidRPr="00DD162A" w:rsidRDefault="000F7919" w:rsidP="000F7919">
            <w:pPr>
              <w:rPr>
                <w:rFonts w:ascii="Arial" w:eastAsia="Times New Roman" w:hAnsi="Arial" w:cs="Arial"/>
                <w:sz w:val="20"/>
                <w:szCs w:val="20"/>
                <w:lang w:eastAsia="en-GB"/>
              </w:rPr>
            </w:pPr>
          </w:p>
        </w:tc>
        <w:tc>
          <w:tcPr>
            <w:tcW w:w="1512" w:type="dxa"/>
            <w:tcBorders>
              <w:top w:val="nil"/>
              <w:left w:val="nil"/>
              <w:bottom w:val="nil"/>
              <w:right w:val="nil"/>
            </w:tcBorders>
            <w:vAlign w:val="bottom"/>
          </w:tcPr>
          <w:p w14:paraId="0B0A8D14" w14:textId="77777777" w:rsidR="000F7919" w:rsidRPr="001268CA" w:rsidRDefault="000F7919" w:rsidP="000F7919">
            <w:pPr>
              <w:jc w:val="right"/>
              <w:rPr>
                <w:rFonts w:ascii="Arial" w:eastAsia="Times New Roman" w:hAnsi="Arial" w:cs="Arial"/>
                <w:b/>
                <w:bCs/>
                <w:color w:val="000000"/>
                <w:sz w:val="20"/>
                <w:szCs w:val="20"/>
                <w:lang w:eastAsia="en-GB"/>
              </w:rPr>
            </w:pPr>
            <w:r w:rsidRPr="001268CA">
              <w:rPr>
                <w:rFonts w:ascii="Arial" w:eastAsia="Times New Roman" w:hAnsi="Arial" w:cs="Arial"/>
                <w:b/>
                <w:bCs/>
                <w:color w:val="000000"/>
                <w:sz w:val="20"/>
                <w:szCs w:val="20"/>
                <w:lang w:eastAsia="en-GB"/>
              </w:rPr>
              <w:t>Six months ended</w:t>
            </w:r>
          </w:p>
        </w:tc>
        <w:tc>
          <w:tcPr>
            <w:tcW w:w="1512" w:type="dxa"/>
            <w:tcBorders>
              <w:top w:val="nil"/>
              <w:left w:val="nil"/>
              <w:bottom w:val="nil"/>
              <w:right w:val="nil"/>
            </w:tcBorders>
            <w:shd w:val="clear" w:color="auto" w:fill="auto"/>
            <w:vAlign w:val="bottom"/>
            <w:hideMark/>
          </w:tcPr>
          <w:p w14:paraId="2ED2DD0F" w14:textId="77777777" w:rsidR="000F7919" w:rsidRPr="00DD162A" w:rsidRDefault="000F7919" w:rsidP="000F7919">
            <w:pPr>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Six months ended</w:t>
            </w:r>
          </w:p>
        </w:tc>
        <w:tc>
          <w:tcPr>
            <w:tcW w:w="1512" w:type="dxa"/>
            <w:tcBorders>
              <w:top w:val="nil"/>
              <w:left w:val="nil"/>
              <w:bottom w:val="nil"/>
              <w:right w:val="nil"/>
            </w:tcBorders>
            <w:shd w:val="clear" w:color="auto" w:fill="auto"/>
            <w:noWrap/>
            <w:vAlign w:val="bottom"/>
            <w:hideMark/>
          </w:tcPr>
          <w:p w14:paraId="6A77430A" w14:textId="77777777" w:rsidR="000F7919" w:rsidRPr="00DD162A" w:rsidRDefault="000F7919" w:rsidP="000F7919">
            <w:pPr>
              <w:ind w:right="-108"/>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xml:space="preserve">Year </w:t>
            </w:r>
            <w:r w:rsidRPr="00DD162A">
              <w:rPr>
                <w:rFonts w:ascii="Arial" w:eastAsia="Times New Roman" w:hAnsi="Arial" w:cs="Arial"/>
                <w:b/>
                <w:bCs/>
                <w:color w:val="000000"/>
                <w:sz w:val="20"/>
                <w:szCs w:val="20"/>
                <w:lang w:eastAsia="en-GB"/>
              </w:rPr>
              <w:t>ended</w:t>
            </w:r>
          </w:p>
        </w:tc>
      </w:tr>
      <w:tr w:rsidR="000F7919" w:rsidRPr="00DD162A" w14:paraId="1CFCC111" w14:textId="77777777" w:rsidTr="00B82B88">
        <w:trPr>
          <w:trHeight w:val="288"/>
        </w:trPr>
        <w:tc>
          <w:tcPr>
            <w:tcW w:w="4428" w:type="dxa"/>
            <w:vMerge/>
            <w:tcBorders>
              <w:top w:val="nil"/>
              <w:left w:val="nil"/>
              <w:bottom w:val="nil"/>
              <w:right w:val="nil"/>
            </w:tcBorders>
            <w:vAlign w:val="center"/>
            <w:hideMark/>
          </w:tcPr>
          <w:p w14:paraId="37A4DE92" w14:textId="77777777" w:rsidR="000F7919" w:rsidRPr="00DD162A" w:rsidRDefault="000F7919" w:rsidP="000F7919">
            <w:pPr>
              <w:rPr>
                <w:rFonts w:ascii="Arial" w:eastAsia="Times New Roman" w:hAnsi="Arial" w:cs="Arial"/>
                <w:sz w:val="20"/>
                <w:szCs w:val="20"/>
                <w:lang w:eastAsia="en-GB"/>
              </w:rPr>
            </w:pPr>
          </w:p>
        </w:tc>
        <w:tc>
          <w:tcPr>
            <w:tcW w:w="1512" w:type="dxa"/>
            <w:tcBorders>
              <w:top w:val="nil"/>
              <w:left w:val="nil"/>
              <w:bottom w:val="nil"/>
              <w:right w:val="nil"/>
            </w:tcBorders>
            <w:vAlign w:val="bottom"/>
          </w:tcPr>
          <w:p w14:paraId="4AFB527E" w14:textId="77777777" w:rsidR="000F7919" w:rsidRPr="001268CA" w:rsidRDefault="000F7919" w:rsidP="000F7919">
            <w:pPr>
              <w:jc w:val="right"/>
              <w:rPr>
                <w:rFonts w:ascii="Arial" w:eastAsia="Times New Roman" w:hAnsi="Arial" w:cs="Arial"/>
                <w:b/>
                <w:bCs/>
                <w:color w:val="000000"/>
                <w:sz w:val="20"/>
                <w:szCs w:val="20"/>
                <w:lang w:eastAsia="en-GB"/>
              </w:rPr>
            </w:pPr>
            <w:r w:rsidRPr="001268CA">
              <w:rPr>
                <w:rFonts w:ascii="Arial" w:eastAsia="Times New Roman" w:hAnsi="Arial" w:cs="Arial"/>
                <w:b/>
                <w:bCs/>
                <w:color w:val="000000"/>
                <w:sz w:val="20"/>
                <w:szCs w:val="20"/>
                <w:lang w:eastAsia="en-GB"/>
              </w:rPr>
              <w:t>30 June</w:t>
            </w:r>
          </w:p>
        </w:tc>
        <w:tc>
          <w:tcPr>
            <w:tcW w:w="1512" w:type="dxa"/>
            <w:tcBorders>
              <w:top w:val="nil"/>
              <w:left w:val="nil"/>
              <w:bottom w:val="nil"/>
              <w:right w:val="nil"/>
            </w:tcBorders>
            <w:shd w:val="clear" w:color="auto" w:fill="auto"/>
            <w:vAlign w:val="bottom"/>
            <w:hideMark/>
          </w:tcPr>
          <w:p w14:paraId="2698823E" w14:textId="77777777" w:rsidR="000F7919" w:rsidRPr="00DD162A" w:rsidRDefault="000F7919" w:rsidP="000F7919">
            <w:pPr>
              <w:jc w:val="right"/>
              <w:rPr>
                <w:rFonts w:ascii="Arial" w:eastAsia="Times New Roman" w:hAnsi="Arial" w:cs="Arial"/>
                <w:b/>
                <w:bCs/>
                <w:color w:val="000000"/>
                <w:sz w:val="20"/>
                <w:szCs w:val="20"/>
                <w:lang w:eastAsia="en-GB"/>
              </w:rPr>
            </w:pPr>
            <w:r w:rsidRPr="00DD162A">
              <w:rPr>
                <w:rFonts w:ascii="Arial" w:eastAsia="Times New Roman" w:hAnsi="Arial" w:cs="Arial"/>
                <w:b/>
                <w:bCs/>
                <w:color w:val="000000"/>
                <w:sz w:val="20"/>
                <w:szCs w:val="20"/>
                <w:lang w:eastAsia="en-GB"/>
              </w:rPr>
              <w:t>30 June</w:t>
            </w:r>
          </w:p>
        </w:tc>
        <w:tc>
          <w:tcPr>
            <w:tcW w:w="1512" w:type="dxa"/>
            <w:tcBorders>
              <w:top w:val="nil"/>
              <w:left w:val="nil"/>
              <w:bottom w:val="nil"/>
              <w:right w:val="nil"/>
            </w:tcBorders>
            <w:shd w:val="clear" w:color="auto" w:fill="auto"/>
            <w:vAlign w:val="bottom"/>
            <w:hideMark/>
          </w:tcPr>
          <w:p w14:paraId="43C94F87" w14:textId="77777777" w:rsidR="000F7919" w:rsidRPr="00DD162A" w:rsidRDefault="000F7919" w:rsidP="000F7919">
            <w:pPr>
              <w:ind w:right="-108"/>
              <w:jc w:val="right"/>
              <w:rPr>
                <w:rFonts w:ascii="Arial" w:eastAsia="Times New Roman" w:hAnsi="Arial" w:cs="Arial"/>
                <w:b/>
                <w:bCs/>
                <w:color w:val="000000"/>
                <w:sz w:val="20"/>
                <w:szCs w:val="20"/>
                <w:lang w:eastAsia="en-GB"/>
              </w:rPr>
            </w:pPr>
            <w:r w:rsidRPr="00DD162A">
              <w:rPr>
                <w:rFonts w:ascii="Arial" w:eastAsia="Times New Roman" w:hAnsi="Arial" w:cs="Arial"/>
                <w:b/>
                <w:bCs/>
                <w:color w:val="000000"/>
                <w:sz w:val="20"/>
                <w:szCs w:val="20"/>
                <w:lang w:eastAsia="en-GB"/>
              </w:rPr>
              <w:t>31 December</w:t>
            </w:r>
          </w:p>
        </w:tc>
      </w:tr>
      <w:tr w:rsidR="000F7919" w:rsidRPr="00DD162A" w14:paraId="576D30BE" w14:textId="77777777" w:rsidTr="00B82B88">
        <w:trPr>
          <w:trHeight w:val="288"/>
        </w:trPr>
        <w:tc>
          <w:tcPr>
            <w:tcW w:w="4428" w:type="dxa"/>
            <w:tcBorders>
              <w:top w:val="nil"/>
              <w:left w:val="nil"/>
              <w:bottom w:val="nil"/>
              <w:right w:val="nil"/>
            </w:tcBorders>
            <w:shd w:val="clear" w:color="auto" w:fill="auto"/>
            <w:noWrap/>
            <w:vAlign w:val="bottom"/>
            <w:hideMark/>
          </w:tcPr>
          <w:p w14:paraId="2787668B" w14:textId="77777777" w:rsidR="000F7919" w:rsidRPr="00DD162A" w:rsidRDefault="000F7919" w:rsidP="000F7919">
            <w:pPr>
              <w:jc w:val="right"/>
              <w:rPr>
                <w:rFonts w:ascii="Arial" w:eastAsia="Times New Roman" w:hAnsi="Arial" w:cs="Arial"/>
                <w:b/>
                <w:bCs/>
                <w:color w:val="000000"/>
                <w:sz w:val="20"/>
                <w:szCs w:val="20"/>
                <w:lang w:eastAsia="en-GB"/>
              </w:rPr>
            </w:pPr>
          </w:p>
        </w:tc>
        <w:tc>
          <w:tcPr>
            <w:tcW w:w="1512" w:type="dxa"/>
            <w:tcBorders>
              <w:top w:val="nil"/>
              <w:left w:val="nil"/>
              <w:bottom w:val="nil"/>
              <w:right w:val="nil"/>
            </w:tcBorders>
            <w:vAlign w:val="center"/>
          </w:tcPr>
          <w:p w14:paraId="1075B346" w14:textId="143F294D" w:rsidR="000F7919" w:rsidRPr="001268CA" w:rsidRDefault="000F7919" w:rsidP="000F7919">
            <w:pPr>
              <w:jc w:val="right"/>
              <w:rPr>
                <w:rFonts w:ascii="Arial" w:eastAsia="Times New Roman" w:hAnsi="Arial" w:cs="Arial"/>
                <w:b/>
                <w:bCs/>
                <w:color w:val="000000"/>
                <w:sz w:val="20"/>
                <w:szCs w:val="20"/>
                <w:lang w:eastAsia="en-GB"/>
              </w:rPr>
            </w:pPr>
            <w:r w:rsidRPr="001268CA">
              <w:rPr>
                <w:rFonts w:ascii="Arial" w:eastAsia="Times New Roman" w:hAnsi="Arial" w:cs="Arial"/>
                <w:b/>
                <w:bCs/>
                <w:color w:val="000000"/>
                <w:sz w:val="20"/>
                <w:szCs w:val="20"/>
                <w:lang w:eastAsia="en-GB"/>
              </w:rPr>
              <w:t>201</w:t>
            </w:r>
            <w:r w:rsidR="00F4584C" w:rsidRPr="001268CA">
              <w:rPr>
                <w:rFonts w:ascii="Arial" w:eastAsia="Times New Roman" w:hAnsi="Arial" w:cs="Arial"/>
                <w:b/>
                <w:bCs/>
                <w:color w:val="000000"/>
                <w:sz w:val="20"/>
                <w:szCs w:val="20"/>
                <w:lang w:eastAsia="en-GB"/>
              </w:rPr>
              <w:t>9</w:t>
            </w:r>
          </w:p>
        </w:tc>
        <w:tc>
          <w:tcPr>
            <w:tcW w:w="1512" w:type="dxa"/>
            <w:tcBorders>
              <w:top w:val="nil"/>
              <w:left w:val="nil"/>
              <w:bottom w:val="nil"/>
              <w:right w:val="nil"/>
            </w:tcBorders>
            <w:shd w:val="clear" w:color="auto" w:fill="auto"/>
            <w:vAlign w:val="center"/>
            <w:hideMark/>
          </w:tcPr>
          <w:p w14:paraId="0E6B3091" w14:textId="4BF26845" w:rsidR="000F7919" w:rsidRPr="00DD162A" w:rsidRDefault="000F7919" w:rsidP="000F7919">
            <w:pPr>
              <w:jc w:val="right"/>
              <w:rPr>
                <w:rFonts w:ascii="Arial" w:eastAsia="Times New Roman" w:hAnsi="Arial" w:cs="Arial"/>
                <w:b/>
                <w:bCs/>
                <w:color w:val="000000"/>
                <w:sz w:val="20"/>
                <w:szCs w:val="20"/>
                <w:lang w:eastAsia="en-GB"/>
              </w:rPr>
            </w:pPr>
            <w:r w:rsidRPr="00DD162A">
              <w:rPr>
                <w:rFonts w:ascii="Arial" w:eastAsia="Times New Roman" w:hAnsi="Arial" w:cs="Arial"/>
                <w:b/>
                <w:bCs/>
                <w:color w:val="000000"/>
                <w:sz w:val="20"/>
                <w:szCs w:val="20"/>
                <w:lang w:eastAsia="en-GB"/>
              </w:rPr>
              <w:t>201</w:t>
            </w:r>
            <w:r w:rsidR="00F4584C">
              <w:rPr>
                <w:rFonts w:ascii="Arial" w:eastAsia="Times New Roman" w:hAnsi="Arial" w:cs="Arial"/>
                <w:b/>
                <w:bCs/>
                <w:color w:val="000000"/>
                <w:sz w:val="20"/>
                <w:szCs w:val="20"/>
                <w:lang w:eastAsia="en-GB"/>
              </w:rPr>
              <w:t>8</w:t>
            </w:r>
          </w:p>
        </w:tc>
        <w:tc>
          <w:tcPr>
            <w:tcW w:w="1512" w:type="dxa"/>
            <w:tcBorders>
              <w:top w:val="nil"/>
              <w:left w:val="nil"/>
              <w:bottom w:val="nil"/>
              <w:right w:val="nil"/>
            </w:tcBorders>
            <w:shd w:val="clear" w:color="auto" w:fill="auto"/>
            <w:vAlign w:val="center"/>
            <w:hideMark/>
          </w:tcPr>
          <w:p w14:paraId="4132DDA1" w14:textId="271F3F08" w:rsidR="000F7919" w:rsidRPr="00DD162A" w:rsidRDefault="000F7919" w:rsidP="000F7919">
            <w:pPr>
              <w:jc w:val="right"/>
              <w:rPr>
                <w:rFonts w:ascii="Arial" w:eastAsia="Times New Roman" w:hAnsi="Arial" w:cs="Arial"/>
                <w:b/>
                <w:bCs/>
                <w:color w:val="000000"/>
                <w:sz w:val="20"/>
                <w:szCs w:val="20"/>
                <w:lang w:eastAsia="en-GB"/>
              </w:rPr>
            </w:pPr>
            <w:r w:rsidRPr="00DD162A">
              <w:rPr>
                <w:rFonts w:ascii="Arial" w:eastAsia="Times New Roman" w:hAnsi="Arial" w:cs="Arial"/>
                <w:b/>
                <w:bCs/>
                <w:color w:val="000000"/>
                <w:sz w:val="20"/>
                <w:szCs w:val="20"/>
                <w:lang w:eastAsia="en-GB"/>
              </w:rPr>
              <w:t>201</w:t>
            </w:r>
            <w:r w:rsidR="00F4584C">
              <w:rPr>
                <w:rFonts w:ascii="Arial" w:eastAsia="Times New Roman" w:hAnsi="Arial" w:cs="Arial"/>
                <w:b/>
                <w:bCs/>
                <w:color w:val="000000"/>
                <w:sz w:val="20"/>
                <w:szCs w:val="20"/>
                <w:lang w:eastAsia="en-GB"/>
              </w:rPr>
              <w:t>8</w:t>
            </w:r>
          </w:p>
        </w:tc>
      </w:tr>
      <w:tr w:rsidR="000F7919" w:rsidRPr="00DD162A" w14:paraId="7EFC28F8" w14:textId="77777777" w:rsidTr="00B82B88">
        <w:trPr>
          <w:trHeight w:val="80"/>
        </w:trPr>
        <w:tc>
          <w:tcPr>
            <w:tcW w:w="4428" w:type="dxa"/>
            <w:tcBorders>
              <w:top w:val="nil"/>
              <w:left w:val="nil"/>
              <w:bottom w:val="nil"/>
              <w:right w:val="nil"/>
            </w:tcBorders>
            <w:shd w:val="clear" w:color="auto" w:fill="auto"/>
            <w:noWrap/>
            <w:vAlign w:val="center"/>
            <w:hideMark/>
          </w:tcPr>
          <w:p w14:paraId="12F3DF43" w14:textId="77777777" w:rsidR="000F7919" w:rsidRPr="00DD162A" w:rsidRDefault="000F7919" w:rsidP="000F7919">
            <w:pPr>
              <w:jc w:val="right"/>
              <w:rPr>
                <w:rFonts w:ascii="Arial" w:eastAsia="Times New Roman" w:hAnsi="Arial" w:cs="Arial"/>
                <w:b/>
                <w:bCs/>
                <w:color w:val="000000"/>
                <w:sz w:val="20"/>
                <w:szCs w:val="20"/>
                <w:lang w:eastAsia="en-GB"/>
              </w:rPr>
            </w:pPr>
          </w:p>
        </w:tc>
        <w:tc>
          <w:tcPr>
            <w:tcW w:w="1512" w:type="dxa"/>
            <w:tcBorders>
              <w:top w:val="nil"/>
              <w:left w:val="nil"/>
              <w:bottom w:val="nil"/>
              <w:right w:val="nil"/>
            </w:tcBorders>
          </w:tcPr>
          <w:p w14:paraId="30C8D8F2" w14:textId="77777777" w:rsidR="000F7919" w:rsidRPr="001268CA" w:rsidRDefault="000F7919" w:rsidP="000F7919">
            <w:pPr>
              <w:jc w:val="right"/>
              <w:rPr>
                <w:rFonts w:ascii="Arial" w:eastAsia="Times New Roman" w:hAnsi="Arial" w:cs="Arial"/>
                <w:color w:val="000000"/>
                <w:sz w:val="20"/>
                <w:szCs w:val="20"/>
                <w:lang w:eastAsia="en-GB"/>
              </w:rPr>
            </w:pPr>
            <w:r w:rsidRPr="001268CA">
              <w:rPr>
                <w:rFonts w:ascii="Arial" w:eastAsia="Times New Roman" w:hAnsi="Arial" w:cs="Arial"/>
                <w:color w:val="000000"/>
                <w:sz w:val="20"/>
                <w:szCs w:val="20"/>
                <w:lang w:eastAsia="en-GB"/>
              </w:rPr>
              <w:t>£’000</w:t>
            </w:r>
          </w:p>
        </w:tc>
        <w:tc>
          <w:tcPr>
            <w:tcW w:w="1512" w:type="dxa"/>
            <w:tcBorders>
              <w:top w:val="nil"/>
              <w:left w:val="nil"/>
              <w:bottom w:val="nil"/>
              <w:right w:val="nil"/>
            </w:tcBorders>
            <w:shd w:val="clear" w:color="auto" w:fill="auto"/>
            <w:vAlign w:val="center"/>
            <w:hideMark/>
          </w:tcPr>
          <w:p w14:paraId="243779F5" w14:textId="77777777" w:rsidR="000F7919" w:rsidRPr="00BC051F" w:rsidRDefault="000F7919" w:rsidP="000F7919">
            <w:pPr>
              <w:jc w:val="right"/>
              <w:rPr>
                <w:rFonts w:ascii="Arial" w:eastAsia="Times New Roman" w:hAnsi="Arial" w:cs="Arial"/>
                <w:color w:val="000000"/>
                <w:sz w:val="20"/>
                <w:szCs w:val="20"/>
                <w:lang w:eastAsia="en-GB"/>
              </w:rPr>
            </w:pPr>
            <w:r w:rsidRPr="00BC051F">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’000</w:t>
            </w:r>
          </w:p>
        </w:tc>
        <w:tc>
          <w:tcPr>
            <w:tcW w:w="1512" w:type="dxa"/>
            <w:tcBorders>
              <w:top w:val="nil"/>
              <w:left w:val="nil"/>
              <w:bottom w:val="nil"/>
              <w:right w:val="nil"/>
            </w:tcBorders>
            <w:shd w:val="clear" w:color="auto" w:fill="auto"/>
            <w:vAlign w:val="center"/>
            <w:hideMark/>
          </w:tcPr>
          <w:p w14:paraId="7F4E6EC3" w14:textId="77777777" w:rsidR="000F7919" w:rsidRPr="00BC051F" w:rsidRDefault="000F7919" w:rsidP="000F7919">
            <w:pPr>
              <w:jc w:val="right"/>
              <w:rPr>
                <w:rFonts w:ascii="Arial" w:eastAsia="Times New Roman" w:hAnsi="Arial" w:cs="Arial"/>
                <w:color w:val="000000"/>
                <w:sz w:val="20"/>
                <w:szCs w:val="20"/>
                <w:lang w:eastAsia="en-GB"/>
              </w:rPr>
            </w:pPr>
            <w:r w:rsidRPr="00BC051F">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’000</w:t>
            </w:r>
          </w:p>
        </w:tc>
      </w:tr>
      <w:tr w:rsidR="000F7919" w:rsidRPr="00DD162A" w14:paraId="7156120A" w14:textId="77777777" w:rsidTr="00B82B88">
        <w:trPr>
          <w:trHeight w:val="288"/>
        </w:trPr>
        <w:tc>
          <w:tcPr>
            <w:tcW w:w="4428" w:type="dxa"/>
            <w:tcBorders>
              <w:top w:val="nil"/>
              <w:left w:val="nil"/>
              <w:bottom w:val="nil"/>
              <w:right w:val="nil"/>
            </w:tcBorders>
            <w:shd w:val="clear" w:color="auto" w:fill="auto"/>
            <w:noWrap/>
            <w:hideMark/>
          </w:tcPr>
          <w:p w14:paraId="2ABCB54B" w14:textId="77777777" w:rsidR="000F7919" w:rsidRPr="00DD162A" w:rsidRDefault="000F7919" w:rsidP="000F7919">
            <w:pPr>
              <w:jc w:val="right"/>
              <w:rPr>
                <w:rFonts w:ascii="Arial" w:eastAsia="Times New Roman" w:hAnsi="Arial" w:cs="Arial"/>
                <w:color w:val="000000"/>
                <w:sz w:val="20"/>
                <w:szCs w:val="20"/>
                <w:lang w:eastAsia="en-GB"/>
              </w:rPr>
            </w:pPr>
          </w:p>
        </w:tc>
        <w:tc>
          <w:tcPr>
            <w:tcW w:w="4536" w:type="dxa"/>
            <w:gridSpan w:val="3"/>
            <w:tcBorders>
              <w:top w:val="nil"/>
              <w:left w:val="nil"/>
              <w:bottom w:val="nil"/>
              <w:right w:val="nil"/>
            </w:tcBorders>
          </w:tcPr>
          <w:p w14:paraId="2483DA2F" w14:textId="77777777" w:rsidR="000F7919" w:rsidRPr="00DD162A" w:rsidRDefault="000F7919" w:rsidP="000F7919">
            <w:pPr>
              <w:jc w:val="both"/>
              <w:rPr>
                <w:rFonts w:ascii="Arial" w:eastAsia="Times New Roman" w:hAnsi="Arial" w:cs="Arial"/>
                <w:sz w:val="20"/>
                <w:szCs w:val="20"/>
                <w:lang w:eastAsia="en-GB"/>
              </w:rPr>
            </w:pPr>
          </w:p>
        </w:tc>
      </w:tr>
      <w:tr w:rsidR="000E6FD8" w:rsidRPr="00DD162A" w14:paraId="214456EC" w14:textId="77777777" w:rsidTr="001E5C67">
        <w:trPr>
          <w:trHeight w:val="288"/>
        </w:trPr>
        <w:tc>
          <w:tcPr>
            <w:tcW w:w="4428" w:type="dxa"/>
            <w:tcBorders>
              <w:top w:val="nil"/>
              <w:left w:val="nil"/>
              <w:bottom w:val="nil"/>
              <w:right w:val="nil"/>
            </w:tcBorders>
            <w:shd w:val="clear" w:color="auto" w:fill="auto"/>
            <w:noWrap/>
            <w:hideMark/>
          </w:tcPr>
          <w:p w14:paraId="0DFF0917" w14:textId="77777777" w:rsidR="000E6FD8" w:rsidRPr="00DD162A" w:rsidRDefault="000E6FD8" w:rsidP="000E6FD8">
            <w:pPr>
              <w:rPr>
                <w:rFonts w:ascii="Arial" w:eastAsia="Times New Roman" w:hAnsi="Arial" w:cs="Arial"/>
                <w:color w:val="000000"/>
                <w:sz w:val="20"/>
                <w:szCs w:val="20"/>
                <w:lang w:eastAsia="en-GB"/>
              </w:rPr>
            </w:pPr>
            <w:r w:rsidRPr="00DD162A">
              <w:rPr>
                <w:rFonts w:ascii="Arial" w:eastAsia="Times New Roman" w:hAnsi="Arial" w:cs="Arial"/>
                <w:color w:val="000000"/>
                <w:sz w:val="20"/>
                <w:szCs w:val="20"/>
                <w:lang w:eastAsia="en-GB"/>
              </w:rPr>
              <w:t>United Kingdom</w:t>
            </w:r>
          </w:p>
        </w:tc>
        <w:tc>
          <w:tcPr>
            <w:tcW w:w="1512" w:type="dxa"/>
            <w:tcBorders>
              <w:top w:val="nil"/>
              <w:left w:val="nil"/>
              <w:bottom w:val="nil"/>
              <w:right w:val="nil"/>
            </w:tcBorders>
          </w:tcPr>
          <w:p w14:paraId="0C0C69C9" w14:textId="7A4AD249" w:rsidR="000E6FD8" w:rsidRPr="00DD162A" w:rsidRDefault="00FE238F" w:rsidP="000E6FD8">
            <w:pPr>
              <w:jc w:val="right"/>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60,664.5</w:t>
            </w:r>
          </w:p>
        </w:tc>
        <w:tc>
          <w:tcPr>
            <w:tcW w:w="1512" w:type="dxa"/>
            <w:tcBorders>
              <w:top w:val="nil"/>
              <w:left w:val="nil"/>
              <w:bottom w:val="nil"/>
              <w:right w:val="nil"/>
            </w:tcBorders>
            <w:shd w:val="clear" w:color="auto" w:fill="auto"/>
          </w:tcPr>
          <w:p w14:paraId="534300DC" w14:textId="3693175D" w:rsidR="000E6FD8" w:rsidRPr="00DD162A" w:rsidRDefault="000E6FD8" w:rsidP="000E6FD8">
            <w:pPr>
              <w:jc w:val="right"/>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58,042.6</w:t>
            </w:r>
          </w:p>
        </w:tc>
        <w:tc>
          <w:tcPr>
            <w:tcW w:w="1512" w:type="dxa"/>
            <w:tcBorders>
              <w:top w:val="nil"/>
              <w:left w:val="nil"/>
              <w:bottom w:val="nil"/>
              <w:right w:val="nil"/>
            </w:tcBorders>
            <w:shd w:val="clear" w:color="auto" w:fill="auto"/>
            <w:noWrap/>
            <w:vAlign w:val="center"/>
          </w:tcPr>
          <w:p w14:paraId="4C84E4A4" w14:textId="1E9FCCF7" w:rsidR="000E6FD8" w:rsidRPr="00DD162A" w:rsidRDefault="000E6FD8" w:rsidP="000E6FD8">
            <w:pPr>
              <w:jc w:val="right"/>
              <w:rPr>
                <w:rFonts w:ascii="Arial" w:eastAsia="Times New Roman" w:hAnsi="Arial" w:cs="Arial"/>
                <w:color w:val="000000"/>
                <w:sz w:val="20"/>
                <w:szCs w:val="20"/>
                <w:lang w:eastAsia="en-GB"/>
              </w:rPr>
            </w:pPr>
            <w:r w:rsidRPr="00B42A71">
              <w:rPr>
                <w:rFonts w:ascii="Arial" w:eastAsia="Times New Roman" w:hAnsi="Arial" w:cs="Arial"/>
                <w:color w:val="000000"/>
                <w:sz w:val="20"/>
                <w:szCs w:val="20"/>
                <w:lang w:eastAsia="en-GB"/>
              </w:rPr>
              <w:t>134,172.9</w:t>
            </w:r>
          </w:p>
        </w:tc>
      </w:tr>
      <w:tr w:rsidR="000E70EB" w:rsidRPr="00DD162A" w14:paraId="15F61B5D" w14:textId="77777777" w:rsidTr="001E5C67">
        <w:trPr>
          <w:trHeight w:val="288"/>
        </w:trPr>
        <w:tc>
          <w:tcPr>
            <w:tcW w:w="4428" w:type="dxa"/>
            <w:tcBorders>
              <w:top w:val="nil"/>
              <w:left w:val="nil"/>
              <w:bottom w:val="nil"/>
              <w:right w:val="nil"/>
            </w:tcBorders>
            <w:shd w:val="clear" w:color="auto" w:fill="auto"/>
            <w:noWrap/>
            <w:hideMark/>
          </w:tcPr>
          <w:p w14:paraId="55C7726D" w14:textId="68AEF47A" w:rsidR="000E70EB" w:rsidRPr="00DD162A" w:rsidRDefault="000E70EB" w:rsidP="000E70EB">
            <w:pPr>
              <w:rPr>
                <w:rFonts w:ascii="Arial" w:eastAsia="Times New Roman" w:hAnsi="Arial" w:cs="Arial"/>
                <w:color w:val="000000"/>
                <w:sz w:val="20"/>
                <w:szCs w:val="20"/>
                <w:lang w:eastAsia="en-GB"/>
              </w:rPr>
            </w:pPr>
            <w:r w:rsidRPr="00DD162A">
              <w:rPr>
                <w:rFonts w:ascii="Arial" w:eastAsia="Times New Roman" w:hAnsi="Arial" w:cs="Arial"/>
                <w:color w:val="000000"/>
                <w:sz w:val="20"/>
                <w:szCs w:val="20"/>
                <w:lang w:eastAsia="en-GB"/>
              </w:rPr>
              <w:t>United States of America</w:t>
            </w:r>
          </w:p>
        </w:tc>
        <w:tc>
          <w:tcPr>
            <w:tcW w:w="1512" w:type="dxa"/>
            <w:tcBorders>
              <w:top w:val="nil"/>
              <w:left w:val="nil"/>
              <w:bottom w:val="nil"/>
              <w:right w:val="nil"/>
            </w:tcBorders>
          </w:tcPr>
          <w:p w14:paraId="5F7D9F81" w14:textId="5394CF94" w:rsidR="000E70EB" w:rsidRPr="00DD162A" w:rsidRDefault="00FE238F" w:rsidP="000E70EB">
            <w:pPr>
              <w:jc w:val="right"/>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19,771.7</w:t>
            </w:r>
          </w:p>
        </w:tc>
        <w:tc>
          <w:tcPr>
            <w:tcW w:w="1512" w:type="dxa"/>
            <w:tcBorders>
              <w:top w:val="nil"/>
              <w:left w:val="nil"/>
              <w:bottom w:val="nil"/>
              <w:right w:val="nil"/>
            </w:tcBorders>
            <w:shd w:val="clear" w:color="auto" w:fill="auto"/>
          </w:tcPr>
          <w:p w14:paraId="715D04E2" w14:textId="590D85BD" w:rsidR="000E70EB" w:rsidRPr="00DD162A" w:rsidRDefault="000E70EB" w:rsidP="000E70EB">
            <w:pPr>
              <w:jc w:val="right"/>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15,133.1</w:t>
            </w:r>
          </w:p>
        </w:tc>
        <w:tc>
          <w:tcPr>
            <w:tcW w:w="1512" w:type="dxa"/>
            <w:tcBorders>
              <w:top w:val="nil"/>
              <w:left w:val="nil"/>
              <w:bottom w:val="nil"/>
              <w:right w:val="nil"/>
            </w:tcBorders>
            <w:shd w:val="clear" w:color="auto" w:fill="auto"/>
            <w:noWrap/>
            <w:vAlign w:val="center"/>
          </w:tcPr>
          <w:p w14:paraId="189136F5" w14:textId="7386E616" w:rsidR="000E70EB" w:rsidRPr="00DD162A" w:rsidRDefault="000E70EB" w:rsidP="000E70EB">
            <w:pPr>
              <w:jc w:val="right"/>
              <w:rPr>
                <w:rFonts w:ascii="Arial" w:eastAsia="Times New Roman" w:hAnsi="Arial" w:cs="Arial"/>
                <w:color w:val="000000"/>
                <w:sz w:val="20"/>
                <w:szCs w:val="20"/>
                <w:lang w:eastAsia="en-GB"/>
              </w:rPr>
            </w:pPr>
            <w:r w:rsidRPr="00B42A71">
              <w:rPr>
                <w:rFonts w:ascii="Arial" w:eastAsia="Times New Roman" w:hAnsi="Arial" w:cs="Arial"/>
                <w:color w:val="000000"/>
                <w:sz w:val="20"/>
                <w:szCs w:val="20"/>
                <w:lang w:eastAsia="en-GB"/>
              </w:rPr>
              <w:t>35,769.1</w:t>
            </w:r>
          </w:p>
        </w:tc>
      </w:tr>
      <w:tr w:rsidR="000E70EB" w:rsidRPr="00DD162A" w14:paraId="23A00DC3" w14:textId="77777777" w:rsidTr="001E5C67">
        <w:trPr>
          <w:trHeight w:val="288"/>
        </w:trPr>
        <w:tc>
          <w:tcPr>
            <w:tcW w:w="4428" w:type="dxa"/>
            <w:tcBorders>
              <w:top w:val="nil"/>
              <w:left w:val="nil"/>
              <w:bottom w:val="nil"/>
              <w:right w:val="nil"/>
            </w:tcBorders>
            <w:shd w:val="clear" w:color="auto" w:fill="auto"/>
            <w:noWrap/>
            <w:hideMark/>
          </w:tcPr>
          <w:p w14:paraId="1D8487C5" w14:textId="2B8856B7" w:rsidR="000E70EB" w:rsidRPr="00DD162A" w:rsidRDefault="000E70EB" w:rsidP="000E70EB">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Europe</w:t>
            </w:r>
          </w:p>
        </w:tc>
        <w:tc>
          <w:tcPr>
            <w:tcW w:w="1512" w:type="dxa"/>
            <w:tcBorders>
              <w:top w:val="nil"/>
              <w:left w:val="nil"/>
              <w:bottom w:val="nil"/>
              <w:right w:val="nil"/>
            </w:tcBorders>
          </w:tcPr>
          <w:p w14:paraId="005940E6" w14:textId="61251FFD" w:rsidR="000E70EB" w:rsidRPr="00DD162A" w:rsidRDefault="00FE238F" w:rsidP="000E70EB">
            <w:pPr>
              <w:jc w:val="right"/>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29,006.7</w:t>
            </w:r>
          </w:p>
        </w:tc>
        <w:tc>
          <w:tcPr>
            <w:tcW w:w="1512" w:type="dxa"/>
            <w:tcBorders>
              <w:top w:val="nil"/>
              <w:left w:val="nil"/>
              <w:bottom w:val="nil"/>
              <w:right w:val="nil"/>
            </w:tcBorders>
            <w:shd w:val="clear" w:color="auto" w:fill="auto"/>
          </w:tcPr>
          <w:p w14:paraId="7B1B7119" w14:textId="4854DDF9" w:rsidR="000E70EB" w:rsidRPr="00DD162A" w:rsidRDefault="000E70EB" w:rsidP="000E70EB">
            <w:pPr>
              <w:jc w:val="right"/>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25,743.6</w:t>
            </w:r>
          </w:p>
        </w:tc>
        <w:tc>
          <w:tcPr>
            <w:tcW w:w="1512" w:type="dxa"/>
            <w:tcBorders>
              <w:top w:val="nil"/>
              <w:left w:val="nil"/>
              <w:bottom w:val="nil"/>
              <w:right w:val="nil"/>
            </w:tcBorders>
            <w:shd w:val="clear" w:color="auto" w:fill="auto"/>
            <w:noWrap/>
            <w:vAlign w:val="center"/>
          </w:tcPr>
          <w:p w14:paraId="66CEB91A" w14:textId="1935C957" w:rsidR="000E70EB" w:rsidRPr="00DD162A" w:rsidRDefault="000E70EB" w:rsidP="000E70EB">
            <w:pPr>
              <w:jc w:val="right"/>
              <w:rPr>
                <w:rFonts w:ascii="Arial" w:eastAsia="Times New Roman" w:hAnsi="Arial" w:cs="Arial"/>
                <w:color w:val="000000"/>
                <w:sz w:val="20"/>
                <w:szCs w:val="20"/>
                <w:lang w:eastAsia="en-GB"/>
              </w:rPr>
            </w:pPr>
            <w:r w:rsidRPr="00B42A71">
              <w:rPr>
                <w:rFonts w:ascii="Arial" w:eastAsia="Times New Roman" w:hAnsi="Arial" w:cs="Arial"/>
                <w:color w:val="000000"/>
                <w:sz w:val="20"/>
                <w:szCs w:val="20"/>
                <w:lang w:eastAsia="en-GB"/>
              </w:rPr>
              <w:t>55,516.2</w:t>
            </w:r>
          </w:p>
        </w:tc>
      </w:tr>
      <w:tr w:rsidR="000E70EB" w:rsidRPr="00DD162A" w14:paraId="0A4594C8" w14:textId="77777777" w:rsidTr="001E5C67">
        <w:trPr>
          <w:trHeight w:val="294"/>
        </w:trPr>
        <w:tc>
          <w:tcPr>
            <w:tcW w:w="4428" w:type="dxa"/>
            <w:tcBorders>
              <w:top w:val="nil"/>
              <w:left w:val="nil"/>
              <w:bottom w:val="nil"/>
              <w:right w:val="nil"/>
            </w:tcBorders>
            <w:shd w:val="clear" w:color="auto" w:fill="auto"/>
            <w:noWrap/>
            <w:hideMark/>
          </w:tcPr>
          <w:p w14:paraId="4E3CBA38" w14:textId="77777777" w:rsidR="000E70EB" w:rsidRPr="00DD162A" w:rsidRDefault="000E70EB" w:rsidP="000E70EB">
            <w:pPr>
              <w:rPr>
                <w:rFonts w:ascii="Arial" w:eastAsia="Times New Roman" w:hAnsi="Arial" w:cs="Arial"/>
                <w:color w:val="000000"/>
                <w:sz w:val="20"/>
                <w:szCs w:val="20"/>
                <w:lang w:eastAsia="en-GB"/>
              </w:rPr>
            </w:pPr>
            <w:r w:rsidRPr="00DD162A">
              <w:rPr>
                <w:rFonts w:ascii="Arial" w:eastAsia="Times New Roman" w:hAnsi="Arial" w:cs="Arial"/>
                <w:color w:val="000000"/>
                <w:sz w:val="20"/>
                <w:szCs w:val="20"/>
                <w:lang w:eastAsia="en-GB"/>
              </w:rPr>
              <w:t>Rest of the World</w:t>
            </w:r>
          </w:p>
        </w:tc>
        <w:tc>
          <w:tcPr>
            <w:tcW w:w="1512" w:type="dxa"/>
            <w:tcBorders>
              <w:top w:val="nil"/>
              <w:left w:val="nil"/>
              <w:bottom w:val="nil"/>
              <w:right w:val="nil"/>
            </w:tcBorders>
          </w:tcPr>
          <w:p w14:paraId="0AC0E205" w14:textId="1C5BDFB2" w:rsidR="000E70EB" w:rsidRPr="00DD162A" w:rsidRDefault="00FE238F" w:rsidP="000E70EB">
            <w:pPr>
              <w:jc w:val="right"/>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7,869.2</w:t>
            </w:r>
          </w:p>
        </w:tc>
        <w:tc>
          <w:tcPr>
            <w:tcW w:w="1512" w:type="dxa"/>
            <w:tcBorders>
              <w:top w:val="nil"/>
              <w:left w:val="nil"/>
              <w:bottom w:val="nil"/>
              <w:right w:val="nil"/>
            </w:tcBorders>
            <w:shd w:val="clear" w:color="auto" w:fill="auto"/>
          </w:tcPr>
          <w:p w14:paraId="24AB8DF8" w14:textId="05AEF795" w:rsidR="000E70EB" w:rsidRPr="00DD162A" w:rsidRDefault="000E70EB" w:rsidP="000E70EB">
            <w:pPr>
              <w:jc w:val="right"/>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5,293.8</w:t>
            </w:r>
          </w:p>
        </w:tc>
        <w:tc>
          <w:tcPr>
            <w:tcW w:w="1512" w:type="dxa"/>
            <w:tcBorders>
              <w:top w:val="nil"/>
              <w:left w:val="nil"/>
              <w:bottom w:val="nil"/>
              <w:right w:val="nil"/>
            </w:tcBorders>
            <w:shd w:val="clear" w:color="auto" w:fill="auto"/>
            <w:noWrap/>
            <w:vAlign w:val="center"/>
          </w:tcPr>
          <w:p w14:paraId="647226C1" w14:textId="3F79BF16" w:rsidR="000E70EB" w:rsidRPr="00DD162A" w:rsidRDefault="000E70EB" w:rsidP="000E70EB">
            <w:pPr>
              <w:jc w:val="right"/>
              <w:rPr>
                <w:rFonts w:ascii="Arial" w:eastAsia="Times New Roman" w:hAnsi="Arial" w:cs="Arial"/>
                <w:color w:val="000000"/>
                <w:sz w:val="20"/>
                <w:szCs w:val="20"/>
                <w:lang w:eastAsia="en-GB"/>
              </w:rPr>
            </w:pPr>
            <w:r w:rsidRPr="00B42A71">
              <w:rPr>
                <w:rFonts w:ascii="Arial" w:eastAsia="Times New Roman" w:hAnsi="Arial" w:cs="Arial"/>
                <w:color w:val="000000"/>
                <w:sz w:val="20"/>
                <w:szCs w:val="20"/>
                <w:lang w:eastAsia="en-GB"/>
              </w:rPr>
              <w:t>11,991.1</w:t>
            </w:r>
          </w:p>
        </w:tc>
      </w:tr>
      <w:tr w:rsidR="000E70EB" w:rsidRPr="00DD162A" w14:paraId="18A9FE05" w14:textId="77777777" w:rsidTr="001E5C67">
        <w:trPr>
          <w:trHeight w:val="294"/>
        </w:trPr>
        <w:tc>
          <w:tcPr>
            <w:tcW w:w="4428" w:type="dxa"/>
            <w:tcBorders>
              <w:top w:val="nil"/>
              <w:left w:val="nil"/>
              <w:bottom w:val="nil"/>
              <w:right w:val="nil"/>
            </w:tcBorders>
            <w:shd w:val="clear" w:color="auto" w:fill="auto"/>
            <w:noWrap/>
            <w:hideMark/>
          </w:tcPr>
          <w:p w14:paraId="2A6967E4" w14:textId="77777777" w:rsidR="000E70EB" w:rsidRPr="00DD162A" w:rsidRDefault="000E70EB" w:rsidP="000E70EB">
            <w:pPr>
              <w:rPr>
                <w:rFonts w:ascii="Arial" w:eastAsia="Times New Roman" w:hAnsi="Arial" w:cs="Arial"/>
                <w:color w:val="000000"/>
                <w:sz w:val="20"/>
                <w:szCs w:val="20"/>
                <w:lang w:eastAsia="en-GB"/>
              </w:rPr>
            </w:pPr>
          </w:p>
        </w:tc>
        <w:tc>
          <w:tcPr>
            <w:tcW w:w="1512" w:type="dxa"/>
            <w:tcBorders>
              <w:top w:val="single" w:sz="8" w:space="0" w:color="auto"/>
              <w:left w:val="nil"/>
              <w:bottom w:val="double" w:sz="6" w:space="0" w:color="auto"/>
              <w:right w:val="nil"/>
            </w:tcBorders>
          </w:tcPr>
          <w:p w14:paraId="28C36840" w14:textId="28DF0FA3" w:rsidR="000E70EB" w:rsidRPr="00DD162A" w:rsidRDefault="00FE238F" w:rsidP="000E70EB">
            <w:pPr>
              <w:jc w:val="right"/>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117,312.1</w:t>
            </w:r>
          </w:p>
        </w:tc>
        <w:tc>
          <w:tcPr>
            <w:tcW w:w="1512" w:type="dxa"/>
            <w:tcBorders>
              <w:top w:val="single" w:sz="8" w:space="0" w:color="auto"/>
              <w:left w:val="nil"/>
              <w:bottom w:val="double" w:sz="6" w:space="0" w:color="auto"/>
              <w:right w:val="nil"/>
            </w:tcBorders>
            <w:shd w:val="clear" w:color="auto" w:fill="auto"/>
          </w:tcPr>
          <w:p w14:paraId="6B833198" w14:textId="1715554D" w:rsidR="000E70EB" w:rsidRPr="00DD162A" w:rsidRDefault="000E70EB" w:rsidP="000E70EB">
            <w:pPr>
              <w:jc w:val="right"/>
              <w:rPr>
                <w:rFonts w:ascii="Arial" w:eastAsia="Times New Roman" w:hAnsi="Arial" w:cs="Arial"/>
                <w:bCs/>
                <w:color w:val="000000"/>
                <w:sz w:val="20"/>
                <w:szCs w:val="20"/>
                <w:lang w:eastAsia="en-GB"/>
              </w:rPr>
            </w:pPr>
            <w:r w:rsidRPr="002214DA">
              <w:rPr>
                <w:rFonts w:ascii="Arial" w:eastAsia="Times New Roman" w:hAnsi="Arial" w:cs="Arial"/>
                <w:bCs/>
                <w:color w:val="000000"/>
                <w:sz w:val="20"/>
                <w:szCs w:val="20"/>
                <w:lang w:eastAsia="en-GB"/>
              </w:rPr>
              <w:t>104,213.1</w:t>
            </w:r>
          </w:p>
        </w:tc>
        <w:tc>
          <w:tcPr>
            <w:tcW w:w="1512" w:type="dxa"/>
            <w:tcBorders>
              <w:top w:val="single" w:sz="8" w:space="0" w:color="auto"/>
              <w:left w:val="nil"/>
              <w:bottom w:val="double" w:sz="6" w:space="0" w:color="auto"/>
              <w:right w:val="nil"/>
            </w:tcBorders>
            <w:shd w:val="clear" w:color="auto" w:fill="auto"/>
            <w:noWrap/>
            <w:vAlign w:val="center"/>
          </w:tcPr>
          <w:p w14:paraId="231285F6" w14:textId="3CA47679" w:rsidR="000E70EB" w:rsidRPr="00DD162A" w:rsidRDefault="000E70EB" w:rsidP="000E70EB">
            <w:pPr>
              <w:jc w:val="right"/>
              <w:rPr>
                <w:rFonts w:ascii="Arial" w:eastAsia="Times New Roman" w:hAnsi="Arial" w:cs="Arial"/>
                <w:color w:val="000000"/>
                <w:sz w:val="20"/>
                <w:szCs w:val="20"/>
                <w:lang w:eastAsia="en-GB"/>
              </w:rPr>
            </w:pPr>
            <w:r w:rsidRPr="00B42A71">
              <w:rPr>
                <w:rFonts w:ascii="Arial" w:eastAsia="Times New Roman" w:hAnsi="Arial" w:cs="Arial"/>
                <w:color w:val="000000"/>
                <w:sz w:val="20"/>
                <w:szCs w:val="20"/>
                <w:lang w:eastAsia="en-GB"/>
              </w:rPr>
              <w:t>237,449.3</w:t>
            </w:r>
          </w:p>
        </w:tc>
      </w:tr>
    </w:tbl>
    <w:p w14:paraId="4C82BC83" w14:textId="77777777" w:rsidR="000F7919" w:rsidRDefault="000F7919" w:rsidP="000F7919">
      <w:pPr>
        <w:ind w:left="142"/>
        <w:rPr>
          <w:rFonts w:ascii="Arial" w:eastAsia="Times New Roman" w:hAnsi="Arial" w:cs="Arial"/>
          <w:color w:val="000000"/>
          <w:sz w:val="20"/>
          <w:szCs w:val="20"/>
          <w:lang w:eastAsia="en-GB"/>
        </w:rPr>
      </w:pPr>
    </w:p>
    <w:p w14:paraId="4E86DE5B" w14:textId="77777777" w:rsidR="000F7919" w:rsidRPr="00DD162A" w:rsidRDefault="000F7919" w:rsidP="000F7919">
      <w:pPr>
        <w:ind w:left="142"/>
        <w:rPr>
          <w:rFonts w:ascii="Arial" w:eastAsia="Times New Roman" w:hAnsi="Arial" w:cs="Arial"/>
          <w:color w:val="000000"/>
          <w:sz w:val="20"/>
          <w:szCs w:val="20"/>
          <w:lang w:eastAsia="en-GB"/>
        </w:rPr>
      </w:pPr>
    </w:p>
    <w:p w14:paraId="270D3110" w14:textId="77777777" w:rsidR="000F7919" w:rsidRPr="00DD162A" w:rsidRDefault="000F7919" w:rsidP="000F7919">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200" w:line="276" w:lineRule="auto"/>
        <w:ind w:left="142" w:firstLine="0"/>
        <w:rPr>
          <w:rFonts w:ascii="Arial" w:hAnsi="Arial" w:cs="Arial"/>
          <w:b/>
          <w:sz w:val="20"/>
          <w:szCs w:val="20"/>
        </w:rPr>
      </w:pPr>
      <w:r w:rsidRPr="00DD162A">
        <w:rPr>
          <w:rFonts w:ascii="Arial" w:hAnsi="Arial" w:cs="Arial"/>
          <w:b/>
          <w:sz w:val="20"/>
          <w:szCs w:val="20"/>
        </w:rPr>
        <w:t>Dividends</w:t>
      </w:r>
    </w:p>
    <w:p w14:paraId="391D295C" w14:textId="773C98D4" w:rsidR="00DC7429" w:rsidRPr="00DC7429" w:rsidRDefault="00DC7429" w:rsidP="00DC7429">
      <w:pPr>
        <w:ind w:left="142"/>
        <w:rPr>
          <w:rFonts w:ascii="Arial" w:hAnsi="Arial" w:cs="Arial"/>
          <w:sz w:val="20"/>
          <w:szCs w:val="20"/>
        </w:rPr>
      </w:pPr>
      <w:r w:rsidRPr="00DC7429">
        <w:rPr>
          <w:rFonts w:ascii="Arial" w:hAnsi="Arial" w:cs="Arial"/>
          <w:sz w:val="20"/>
          <w:szCs w:val="20"/>
        </w:rPr>
        <w:t xml:space="preserve">The interim dividend of </w:t>
      </w:r>
      <w:r w:rsidR="0085725E" w:rsidRPr="004C0A15">
        <w:rPr>
          <w:rFonts w:ascii="Arial" w:hAnsi="Arial" w:cs="Arial"/>
          <w:sz w:val="20"/>
          <w:szCs w:val="20"/>
        </w:rPr>
        <w:t>5.2</w:t>
      </w:r>
      <w:r w:rsidR="00152E51">
        <w:rPr>
          <w:rFonts w:ascii="Arial" w:hAnsi="Arial" w:cs="Arial"/>
          <w:sz w:val="20"/>
          <w:szCs w:val="20"/>
        </w:rPr>
        <w:t>0</w:t>
      </w:r>
      <w:r w:rsidRPr="00DC7429">
        <w:rPr>
          <w:rFonts w:ascii="Arial" w:hAnsi="Arial" w:cs="Arial"/>
          <w:sz w:val="20"/>
          <w:szCs w:val="20"/>
        </w:rPr>
        <w:t xml:space="preserve"> pence per share will be paid on </w:t>
      </w:r>
      <w:r>
        <w:rPr>
          <w:rFonts w:ascii="Arial" w:hAnsi="Arial" w:cs="Arial"/>
          <w:sz w:val="20"/>
          <w:szCs w:val="20"/>
        </w:rPr>
        <w:t>6</w:t>
      </w:r>
      <w:r w:rsidRPr="00DC7429">
        <w:rPr>
          <w:rFonts w:ascii="Arial" w:hAnsi="Arial" w:cs="Arial"/>
          <w:sz w:val="20"/>
          <w:szCs w:val="20"/>
        </w:rPr>
        <w:t xml:space="preserve"> September 2019 to shareholders on the register on </w:t>
      </w:r>
      <w:r>
        <w:rPr>
          <w:rFonts w:ascii="Arial" w:hAnsi="Arial" w:cs="Arial"/>
          <w:sz w:val="20"/>
          <w:szCs w:val="20"/>
        </w:rPr>
        <w:t>9</w:t>
      </w:r>
      <w:r w:rsidRPr="00DC7429">
        <w:rPr>
          <w:rFonts w:ascii="Arial" w:hAnsi="Arial" w:cs="Arial"/>
          <w:sz w:val="20"/>
          <w:szCs w:val="20"/>
        </w:rPr>
        <w:t xml:space="preserve"> August 2019.</w:t>
      </w:r>
    </w:p>
    <w:p w14:paraId="1159CA98" w14:textId="77777777" w:rsidR="00C579F1" w:rsidRDefault="00C579F1" w:rsidP="00C579F1">
      <w:pPr>
        <w:autoSpaceDE w:val="0"/>
        <w:autoSpaceDN w:val="0"/>
        <w:adjustRightInd w:val="0"/>
        <w:ind w:left="142"/>
        <w:rPr>
          <w:rFonts w:ascii="Arial" w:hAnsi="Arial" w:cs="Arial"/>
          <w:sz w:val="20"/>
          <w:szCs w:val="20"/>
        </w:rPr>
      </w:pPr>
    </w:p>
    <w:p w14:paraId="579BD06A" w14:textId="77777777" w:rsidR="000F7919" w:rsidRPr="00DD162A" w:rsidRDefault="000F7919" w:rsidP="000F7919">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200" w:line="276" w:lineRule="auto"/>
        <w:ind w:left="142" w:firstLine="0"/>
        <w:rPr>
          <w:rFonts w:ascii="Arial" w:hAnsi="Arial" w:cs="Arial"/>
          <w:b/>
          <w:sz w:val="20"/>
          <w:szCs w:val="20"/>
        </w:rPr>
      </w:pPr>
      <w:r w:rsidRPr="00DD162A">
        <w:rPr>
          <w:rFonts w:ascii="Arial" w:hAnsi="Arial" w:cs="Arial"/>
          <w:b/>
          <w:sz w:val="20"/>
          <w:szCs w:val="20"/>
        </w:rPr>
        <w:t>Earnings Per Share</w:t>
      </w:r>
    </w:p>
    <w:tbl>
      <w:tblPr>
        <w:tblW w:w="8964" w:type="dxa"/>
        <w:tblInd w:w="108" w:type="dxa"/>
        <w:tblLook w:val="04A0" w:firstRow="1" w:lastRow="0" w:firstColumn="1" w:lastColumn="0" w:noHBand="0" w:noVBand="1"/>
      </w:tblPr>
      <w:tblGrid>
        <w:gridCol w:w="4570"/>
        <w:gridCol w:w="1418"/>
        <w:gridCol w:w="1417"/>
        <w:gridCol w:w="1559"/>
      </w:tblGrid>
      <w:tr w:rsidR="000F7919" w:rsidRPr="00DD162A" w14:paraId="0B4B6EF1" w14:textId="77777777" w:rsidTr="000F7919">
        <w:trPr>
          <w:trHeight w:val="288"/>
        </w:trPr>
        <w:tc>
          <w:tcPr>
            <w:tcW w:w="4570" w:type="dxa"/>
            <w:vMerge w:val="restart"/>
            <w:tcBorders>
              <w:top w:val="nil"/>
              <w:left w:val="nil"/>
              <w:bottom w:val="nil"/>
              <w:right w:val="nil"/>
            </w:tcBorders>
            <w:shd w:val="clear" w:color="auto" w:fill="auto"/>
            <w:noWrap/>
            <w:vAlign w:val="bottom"/>
            <w:hideMark/>
          </w:tcPr>
          <w:p w14:paraId="0F975737" w14:textId="77777777" w:rsidR="000F7919" w:rsidRPr="00DD162A" w:rsidRDefault="000F7919" w:rsidP="000F7919">
            <w:pPr>
              <w:rPr>
                <w:rFonts w:ascii="Arial" w:eastAsia="Times New Roman" w:hAnsi="Arial" w:cs="Arial"/>
                <w:sz w:val="20"/>
                <w:szCs w:val="20"/>
                <w:lang w:eastAsia="en-GB"/>
              </w:rPr>
            </w:pPr>
          </w:p>
        </w:tc>
        <w:tc>
          <w:tcPr>
            <w:tcW w:w="1418" w:type="dxa"/>
            <w:tcBorders>
              <w:top w:val="nil"/>
              <w:left w:val="nil"/>
              <w:bottom w:val="nil"/>
              <w:right w:val="nil"/>
            </w:tcBorders>
            <w:shd w:val="clear" w:color="auto" w:fill="auto"/>
            <w:vAlign w:val="bottom"/>
            <w:hideMark/>
          </w:tcPr>
          <w:p w14:paraId="3BF99141" w14:textId="77777777" w:rsidR="000F7919" w:rsidRPr="003B0BAB" w:rsidRDefault="000F7919" w:rsidP="000F7919">
            <w:pPr>
              <w:jc w:val="right"/>
              <w:rPr>
                <w:rFonts w:ascii="Arial" w:eastAsia="Times New Roman" w:hAnsi="Arial" w:cs="Arial"/>
                <w:b/>
                <w:bCs/>
                <w:color w:val="000000"/>
                <w:sz w:val="20"/>
                <w:szCs w:val="20"/>
                <w:lang w:eastAsia="en-GB"/>
              </w:rPr>
            </w:pPr>
            <w:r w:rsidRPr="003B0BAB">
              <w:rPr>
                <w:rFonts w:ascii="Arial" w:eastAsia="Times New Roman" w:hAnsi="Arial" w:cs="Arial"/>
                <w:b/>
                <w:bCs/>
                <w:color w:val="000000"/>
                <w:sz w:val="20"/>
                <w:szCs w:val="20"/>
                <w:lang w:eastAsia="en-GB"/>
              </w:rPr>
              <w:t>Six months ended</w:t>
            </w:r>
          </w:p>
        </w:tc>
        <w:tc>
          <w:tcPr>
            <w:tcW w:w="1417" w:type="dxa"/>
            <w:tcBorders>
              <w:top w:val="nil"/>
              <w:left w:val="nil"/>
              <w:bottom w:val="nil"/>
              <w:right w:val="nil"/>
            </w:tcBorders>
            <w:vAlign w:val="bottom"/>
          </w:tcPr>
          <w:p w14:paraId="70462DE5" w14:textId="77777777" w:rsidR="000F7919" w:rsidRPr="00DD162A" w:rsidRDefault="000F7919" w:rsidP="000F7919">
            <w:pPr>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xml:space="preserve">Six months </w:t>
            </w:r>
            <w:r w:rsidRPr="00DD162A">
              <w:rPr>
                <w:rFonts w:ascii="Arial" w:eastAsia="Times New Roman" w:hAnsi="Arial" w:cs="Arial"/>
                <w:b/>
                <w:bCs/>
                <w:color w:val="000000"/>
                <w:sz w:val="20"/>
                <w:szCs w:val="20"/>
                <w:lang w:eastAsia="en-GB"/>
              </w:rPr>
              <w:t>ended</w:t>
            </w:r>
          </w:p>
        </w:tc>
        <w:tc>
          <w:tcPr>
            <w:tcW w:w="1559" w:type="dxa"/>
            <w:tcBorders>
              <w:top w:val="nil"/>
              <w:left w:val="nil"/>
              <w:bottom w:val="nil"/>
              <w:right w:val="nil"/>
            </w:tcBorders>
            <w:shd w:val="clear" w:color="auto" w:fill="auto"/>
            <w:noWrap/>
            <w:vAlign w:val="bottom"/>
            <w:hideMark/>
          </w:tcPr>
          <w:p w14:paraId="4F5BAEBD" w14:textId="77777777" w:rsidR="000F7919" w:rsidRPr="00DD162A" w:rsidRDefault="000F7919" w:rsidP="000F7919">
            <w:pPr>
              <w:jc w:val="right"/>
              <w:rPr>
                <w:rFonts w:ascii="Arial" w:eastAsia="Times New Roman" w:hAnsi="Arial" w:cs="Arial"/>
                <w:b/>
                <w:bCs/>
                <w:color w:val="000000"/>
                <w:sz w:val="20"/>
                <w:szCs w:val="20"/>
                <w:lang w:eastAsia="en-GB"/>
              </w:rPr>
            </w:pPr>
            <w:r w:rsidRPr="00DD162A">
              <w:rPr>
                <w:rFonts w:ascii="Arial" w:eastAsia="Times New Roman" w:hAnsi="Arial" w:cs="Arial"/>
                <w:b/>
                <w:bCs/>
                <w:color w:val="000000"/>
                <w:sz w:val="20"/>
                <w:szCs w:val="20"/>
                <w:lang w:eastAsia="en-GB"/>
              </w:rPr>
              <w:t>Year ended</w:t>
            </w:r>
          </w:p>
        </w:tc>
      </w:tr>
      <w:tr w:rsidR="000F7919" w:rsidRPr="00DD162A" w14:paraId="13CB87FA" w14:textId="77777777" w:rsidTr="000F7919">
        <w:trPr>
          <w:trHeight w:val="288"/>
        </w:trPr>
        <w:tc>
          <w:tcPr>
            <w:tcW w:w="4570" w:type="dxa"/>
            <w:vMerge/>
            <w:tcBorders>
              <w:top w:val="nil"/>
              <w:left w:val="nil"/>
              <w:bottom w:val="nil"/>
              <w:right w:val="nil"/>
            </w:tcBorders>
            <w:vAlign w:val="center"/>
            <w:hideMark/>
          </w:tcPr>
          <w:p w14:paraId="67EBC4B4" w14:textId="77777777" w:rsidR="000F7919" w:rsidRPr="00DD162A" w:rsidRDefault="000F7919" w:rsidP="000F7919">
            <w:pPr>
              <w:rPr>
                <w:rFonts w:ascii="Arial" w:eastAsia="Times New Roman" w:hAnsi="Arial" w:cs="Arial"/>
                <w:sz w:val="20"/>
                <w:szCs w:val="20"/>
                <w:lang w:eastAsia="en-GB"/>
              </w:rPr>
            </w:pPr>
          </w:p>
        </w:tc>
        <w:tc>
          <w:tcPr>
            <w:tcW w:w="1418" w:type="dxa"/>
            <w:tcBorders>
              <w:top w:val="nil"/>
              <w:left w:val="nil"/>
              <w:bottom w:val="nil"/>
              <w:right w:val="nil"/>
            </w:tcBorders>
            <w:shd w:val="clear" w:color="auto" w:fill="auto"/>
            <w:vAlign w:val="bottom"/>
            <w:hideMark/>
          </w:tcPr>
          <w:p w14:paraId="5AE60D39" w14:textId="77777777" w:rsidR="000F7919" w:rsidRPr="003B0BAB" w:rsidRDefault="000F7919" w:rsidP="000F7919">
            <w:pPr>
              <w:jc w:val="right"/>
              <w:rPr>
                <w:rFonts w:ascii="Arial" w:eastAsia="Times New Roman" w:hAnsi="Arial" w:cs="Arial"/>
                <w:b/>
                <w:bCs/>
                <w:color w:val="000000"/>
                <w:sz w:val="20"/>
                <w:szCs w:val="20"/>
                <w:lang w:eastAsia="en-GB"/>
              </w:rPr>
            </w:pPr>
            <w:r w:rsidRPr="003B0BAB">
              <w:rPr>
                <w:rFonts w:ascii="Arial" w:eastAsia="Times New Roman" w:hAnsi="Arial" w:cs="Arial"/>
                <w:b/>
                <w:bCs/>
                <w:color w:val="000000"/>
                <w:sz w:val="20"/>
                <w:szCs w:val="20"/>
                <w:lang w:eastAsia="en-GB"/>
              </w:rPr>
              <w:t>30 June</w:t>
            </w:r>
          </w:p>
        </w:tc>
        <w:tc>
          <w:tcPr>
            <w:tcW w:w="1417" w:type="dxa"/>
            <w:tcBorders>
              <w:top w:val="nil"/>
              <w:left w:val="nil"/>
              <w:bottom w:val="nil"/>
              <w:right w:val="nil"/>
            </w:tcBorders>
            <w:vAlign w:val="bottom"/>
          </w:tcPr>
          <w:p w14:paraId="469629C2" w14:textId="77777777" w:rsidR="000F7919" w:rsidRPr="00DD162A" w:rsidRDefault="000F7919" w:rsidP="000F7919">
            <w:pPr>
              <w:jc w:val="right"/>
              <w:rPr>
                <w:rFonts w:ascii="Arial" w:eastAsia="Times New Roman" w:hAnsi="Arial" w:cs="Arial"/>
                <w:b/>
                <w:bCs/>
                <w:color w:val="000000"/>
                <w:sz w:val="20"/>
                <w:szCs w:val="20"/>
                <w:lang w:eastAsia="en-GB"/>
              </w:rPr>
            </w:pPr>
            <w:r w:rsidRPr="00DD162A">
              <w:rPr>
                <w:rFonts w:ascii="Arial" w:eastAsia="Times New Roman" w:hAnsi="Arial" w:cs="Arial"/>
                <w:b/>
                <w:bCs/>
                <w:color w:val="000000"/>
                <w:sz w:val="20"/>
                <w:szCs w:val="20"/>
                <w:lang w:eastAsia="en-GB"/>
              </w:rPr>
              <w:t>30 June</w:t>
            </w:r>
          </w:p>
        </w:tc>
        <w:tc>
          <w:tcPr>
            <w:tcW w:w="1559" w:type="dxa"/>
            <w:tcBorders>
              <w:top w:val="nil"/>
              <w:left w:val="nil"/>
              <w:bottom w:val="nil"/>
              <w:right w:val="nil"/>
            </w:tcBorders>
            <w:shd w:val="clear" w:color="auto" w:fill="auto"/>
            <w:vAlign w:val="bottom"/>
            <w:hideMark/>
          </w:tcPr>
          <w:p w14:paraId="09CCE074" w14:textId="77777777" w:rsidR="000F7919" w:rsidRPr="00DD162A" w:rsidRDefault="000F7919" w:rsidP="000F7919">
            <w:pPr>
              <w:jc w:val="right"/>
              <w:rPr>
                <w:rFonts w:ascii="Arial" w:eastAsia="Times New Roman" w:hAnsi="Arial" w:cs="Arial"/>
                <w:b/>
                <w:bCs/>
                <w:color w:val="000000"/>
                <w:sz w:val="20"/>
                <w:szCs w:val="20"/>
                <w:lang w:eastAsia="en-GB"/>
              </w:rPr>
            </w:pPr>
            <w:r w:rsidRPr="00DD162A">
              <w:rPr>
                <w:rFonts w:ascii="Arial" w:eastAsia="Times New Roman" w:hAnsi="Arial" w:cs="Arial"/>
                <w:b/>
                <w:bCs/>
                <w:color w:val="000000"/>
                <w:sz w:val="20"/>
                <w:szCs w:val="20"/>
                <w:lang w:eastAsia="en-GB"/>
              </w:rPr>
              <w:t>31 December</w:t>
            </w:r>
          </w:p>
        </w:tc>
      </w:tr>
      <w:tr w:rsidR="000F7919" w:rsidRPr="00DD162A" w14:paraId="77CC60A6" w14:textId="77777777" w:rsidTr="000F7919">
        <w:trPr>
          <w:trHeight w:val="288"/>
        </w:trPr>
        <w:tc>
          <w:tcPr>
            <w:tcW w:w="4570" w:type="dxa"/>
            <w:tcBorders>
              <w:top w:val="nil"/>
              <w:left w:val="nil"/>
              <w:bottom w:val="nil"/>
              <w:right w:val="nil"/>
            </w:tcBorders>
            <w:shd w:val="clear" w:color="auto" w:fill="auto"/>
            <w:noWrap/>
            <w:vAlign w:val="bottom"/>
            <w:hideMark/>
          </w:tcPr>
          <w:p w14:paraId="022C4064" w14:textId="77777777" w:rsidR="000F7919" w:rsidRPr="00DD162A" w:rsidRDefault="000F7919" w:rsidP="000F7919">
            <w:pPr>
              <w:jc w:val="right"/>
              <w:rPr>
                <w:rFonts w:ascii="Arial" w:eastAsia="Times New Roman" w:hAnsi="Arial" w:cs="Arial"/>
                <w:b/>
                <w:bCs/>
                <w:color w:val="000000"/>
                <w:sz w:val="20"/>
                <w:szCs w:val="20"/>
                <w:lang w:eastAsia="en-GB"/>
              </w:rPr>
            </w:pPr>
          </w:p>
        </w:tc>
        <w:tc>
          <w:tcPr>
            <w:tcW w:w="1418" w:type="dxa"/>
            <w:tcBorders>
              <w:top w:val="nil"/>
              <w:left w:val="nil"/>
              <w:bottom w:val="nil"/>
              <w:right w:val="nil"/>
            </w:tcBorders>
            <w:shd w:val="clear" w:color="auto" w:fill="auto"/>
            <w:noWrap/>
            <w:vAlign w:val="bottom"/>
            <w:hideMark/>
          </w:tcPr>
          <w:p w14:paraId="76AEE323" w14:textId="26B25E64" w:rsidR="000F7919" w:rsidRPr="003B0BAB" w:rsidRDefault="000F7919" w:rsidP="000F7919">
            <w:pPr>
              <w:jc w:val="right"/>
              <w:rPr>
                <w:rFonts w:ascii="Arial" w:eastAsia="Times New Roman" w:hAnsi="Arial" w:cs="Arial"/>
                <w:b/>
                <w:bCs/>
                <w:color w:val="000000"/>
                <w:sz w:val="20"/>
                <w:szCs w:val="20"/>
                <w:lang w:eastAsia="en-GB"/>
              </w:rPr>
            </w:pPr>
            <w:r w:rsidRPr="003B0BAB">
              <w:rPr>
                <w:rFonts w:ascii="Arial" w:eastAsia="Times New Roman" w:hAnsi="Arial" w:cs="Arial"/>
                <w:b/>
                <w:bCs/>
                <w:color w:val="000000"/>
                <w:sz w:val="20"/>
                <w:szCs w:val="20"/>
                <w:lang w:eastAsia="en-GB"/>
              </w:rPr>
              <w:t>201</w:t>
            </w:r>
            <w:r w:rsidR="00B92C58" w:rsidRPr="003B0BAB">
              <w:rPr>
                <w:rFonts w:ascii="Arial" w:eastAsia="Times New Roman" w:hAnsi="Arial" w:cs="Arial"/>
                <w:b/>
                <w:bCs/>
                <w:color w:val="000000"/>
                <w:sz w:val="20"/>
                <w:szCs w:val="20"/>
                <w:lang w:eastAsia="en-GB"/>
              </w:rPr>
              <w:t>9</w:t>
            </w:r>
          </w:p>
        </w:tc>
        <w:tc>
          <w:tcPr>
            <w:tcW w:w="1417" w:type="dxa"/>
            <w:tcBorders>
              <w:top w:val="nil"/>
              <w:left w:val="nil"/>
              <w:bottom w:val="nil"/>
              <w:right w:val="nil"/>
            </w:tcBorders>
            <w:vAlign w:val="bottom"/>
          </w:tcPr>
          <w:p w14:paraId="2E4CB95E" w14:textId="4560BD97" w:rsidR="000F7919" w:rsidRPr="00DD162A" w:rsidRDefault="000F7919" w:rsidP="000F7919">
            <w:pPr>
              <w:jc w:val="right"/>
              <w:rPr>
                <w:rFonts w:ascii="Arial" w:eastAsia="Times New Roman" w:hAnsi="Arial" w:cs="Arial"/>
                <w:b/>
                <w:bCs/>
                <w:color w:val="000000"/>
                <w:sz w:val="20"/>
                <w:szCs w:val="20"/>
                <w:lang w:eastAsia="en-GB"/>
              </w:rPr>
            </w:pPr>
            <w:r w:rsidRPr="00DD162A">
              <w:rPr>
                <w:rFonts w:ascii="Arial" w:eastAsia="Times New Roman" w:hAnsi="Arial" w:cs="Arial"/>
                <w:b/>
                <w:bCs/>
                <w:color w:val="000000"/>
                <w:sz w:val="20"/>
                <w:szCs w:val="20"/>
                <w:lang w:eastAsia="en-GB"/>
              </w:rPr>
              <w:t>201</w:t>
            </w:r>
            <w:r w:rsidR="00B92C58">
              <w:rPr>
                <w:rFonts w:ascii="Arial" w:eastAsia="Times New Roman" w:hAnsi="Arial" w:cs="Arial"/>
                <w:b/>
                <w:bCs/>
                <w:color w:val="000000"/>
                <w:sz w:val="20"/>
                <w:szCs w:val="20"/>
                <w:lang w:eastAsia="en-GB"/>
              </w:rPr>
              <w:t>8</w:t>
            </w:r>
          </w:p>
        </w:tc>
        <w:tc>
          <w:tcPr>
            <w:tcW w:w="1559" w:type="dxa"/>
            <w:tcBorders>
              <w:top w:val="nil"/>
              <w:left w:val="nil"/>
              <w:bottom w:val="nil"/>
              <w:right w:val="nil"/>
            </w:tcBorders>
            <w:shd w:val="clear" w:color="auto" w:fill="auto"/>
            <w:vAlign w:val="bottom"/>
            <w:hideMark/>
          </w:tcPr>
          <w:p w14:paraId="50701B19" w14:textId="253397DA" w:rsidR="000F7919" w:rsidRPr="00DD162A" w:rsidRDefault="000F7919" w:rsidP="000F7919">
            <w:pPr>
              <w:jc w:val="right"/>
              <w:rPr>
                <w:rFonts w:ascii="Arial" w:eastAsia="Times New Roman" w:hAnsi="Arial" w:cs="Arial"/>
                <w:b/>
                <w:bCs/>
                <w:color w:val="000000"/>
                <w:sz w:val="20"/>
                <w:szCs w:val="20"/>
                <w:lang w:eastAsia="en-GB"/>
              </w:rPr>
            </w:pPr>
            <w:r w:rsidRPr="00DD162A">
              <w:rPr>
                <w:rFonts w:ascii="Arial" w:eastAsia="Times New Roman" w:hAnsi="Arial" w:cs="Arial"/>
                <w:b/>
                <w:bCs/>
                <w:color w:val="000000"/>
                <w:sz w:val="20"/>
                <w:szCs w:val="20"/>
                <w:lang w:eastAsia="en-GB"/>
              </w:rPr>
              <w:t>201</w:t>
            </w:r>
            <w:r w:rsidR="00B92C58">
              <w:rPr>
                <w:rFonts w:ascii="Arial" w:eastAsia="Times New Roman" w:hAnsi="Arial" w:cs="Arial"/>
                <w:b/>
                <w:bCs/>
                <w:color w:val="000000"/>
                <w:sz w:val="20"/>
                <w:szCs w:val="20"/>
                <w:lang w:eastAsia="en-GB"/>
              </w:rPr>
              <w:t>8</w:t>
            </w:r>
          </w:p>
        </w:tc>
      </w:tr>
      <w:tr w:rsidR="000F7919" w:rsidRPr="00DD162A" w14:paraId="7324DAA8" w14:textId="77777777" w:rsidTr="000F7919">
        <w:trPr>
          <w:trHeight w:val="125"/>
        </w:trPr>
        <w:tc>
          <w:tcPr>
            <w:tcW w:w="4570" w:type="dxa"/>
            <w:tcBorders>
              <w:top w:val="nil"/>
              <w:left w:val="nil"/>
              <w:bottom w:val="nil"/>
              <w:right w:val="nil"/>
            </w:tcBorders>
            <w:shd w:val="clear" w:color="auto" w:fill="auto"/>
            <w:noWrap/>
            <w:vAlign w:val="bottom"/>
            <w:hideMark/>
          </w:tcPr>
          <w:p w14:paraId="76A4C6F3" w14:textId="77777777" w:rsidR="000F7919" w:rsidRPr="00DD162A" w:rsidRDefault="000F7919" w:rsidP="000F7919">
            <w:pPr>
              <w:jc w:val="right"/>
              <w:rPr>
                <w:rFonts w:ascii="Arial" w:eastAsia="Times New Roman" w:hAnsi="Arial" w:cs="Arial"/>
                <w:b/>
                <w:bCs/>
                <w:color w:val="000000"/>
                <w:sz w:val="20"/>
                <w:szCs w:val="20"/>
                <w:lang w:eastAsia="en-GB"/>
              </w:rPr>
            </w:pPr>
          </w:p>
        </w:tc>
        <w:tc>
          <w:tcPr>
            <w:tcW w:w="1418" w:type="dxa"/>
            <w:tcBorders>
              <w:top w:val="nil"/>
              <w:left w:val="nil"/>
              <w:bottom w:val="nil"/>
              <w:right w:val="nil"/>
            </w:tcBorders>
            <w:shd w:val="clear" w:color="auto" w:fill="auto"/>
            <w:noWrap/>
            <w:vAlign w:val="center"/>
            <w:hideMark/>
          </w:tcPr>
          <w:p w14:paraId="2A7141DA" w14:textId="77777777" w:rsidR="000F7919" w:rsidRPr="003B0BAB" w:rsidRDefault="000F7919" w:rsidP="000F7919">
            <w:pPr>
              <w:jc w:val="right"/>
              <w:rPr>
                <w:rFonts w:ascii="Arial" w:eastAsia="Times New Roman" w:hAnsi="Arial" w:cs="Arial"/>
                <w:bCs/>
                <w:color w:val="000000"/>
                <w:sz w:val="20"/>
                <w:szCs w:val="20"/>
                <w:lang w:eastAsia="en-GB"/>
              </w:rPr>
            </w:pPr>
            <w:r w:rsidRPr="003B0BAB">
              <w:rPr>
                <w:rFonts w:ascii="Arial" w:eastAsia="Times New Roman" w:hAnsi="Arial" w:cs="Arial"/>
                <w:bCs/>
                <w:color w:val="000000"/>
                <w:sz w:val="20"/>
                <w:szCs w:val="20"/>
                <w:lang w:eastAsia="en-GB"/>
              </w:rPr>
              <w:t>£’000</w:t>
            </w:r>
          </w:p>
        </w:tc>
        <w:tc>
          <w:tcPr>
            <w:tcW w:w="1417" w:type="dxa"/>
            <w:tcBorders>
              <w:top w:val="nil"/>
              <w:left w:val="nil"/>
              <w:bottom w:val="nil"/>
              <w:right w:val="nil"/>
            </w:tcBorders>
          </w:tcPr>
          <w:p w14:paraId="55F81F7C" w14:textId="77777777" w:rsidR="000F7919" w:rsidRPr="00BC051F" w:rsidRDefault="000F7919" w:rsidP="000F7919">
            <w:pPr>
              <w:jc w:val="right"/>
              <w:rPr>
                <w:rFonts w:ascii="Arial" w:eastAsia="Times New Roman" w:hAnsi="Arial" w:cs="Arial"/>
                <w:bCs/>
                <w:color w:val="000000"/>
                <w:sz w:val="20"/>
                <w:szCs w:val="20"/>
                <w:lang w:eastAsia="en-GB"/>
              </w:rPr>
            </w:pPr>
            <w:r w:rsidRPr="00BC051F">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’000</w:t>
            </w:r>
          </w:p>
        </w:tc>
        <w:tc>
          <w:tcPr>
            <w:tcW w:w="1559" w:type="dxa"/>
            <w:tcBorders>
              <w:top w:val="nil"/>
              <w:left w:val="nil"/>
              <w:bottom w:val="nil"/>
              <w:right w:val="nil"/>
            </w:tcBorders>
            <w:shd w:val="clear" w:color="auto" w:fill="auto"/>
            <w:vAlign w:val="center"/>
            <w:hideMark/>
          </w:tcPr>
          <w:p w14:paraId="2ADCC957" w14:textId="77777777" w:rsidR="000F7919" w:rsidRPr="00BC051F" w:rsidRDefault="000F7919" w:rsidP="000F7919">
            <w:pPr>
              <w:jc w:val="right"/>
              <w:rPr>
                <w:rFonts w:ascii="Arial" w:eastAsia="Times New Roman" w:hAnsi="Arial" w:cs="Arial"/>
                <w:color w:val="000000"/>
                <w:sz w:val="20"/>
                <w:szCs w:val="20"/>
                <w:lang w:eastAsia="en-GB"/>
              </w:rPr>
            </w:pPr>
            <w:r w:rsidRPr="00BC051F">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’000</w:t>
            </w:r>
          </w:p>
        </w:tc>
      </w:tr>
      <w:tr w:rsidR="000F7919" w:rsidRPr="00DD162A" w14:paraId="7DCF683C" w14:textId="77777777" w:rsidTr="000F7919">
        <w:trPr>
          <w:trHeight w:val="288"/>
        </w:trPr>
        <w:tc>
          <w:tcPr>
            <w:tcW w:w="4570" w:type="dxa"/>
            <w:tcBorders>
              <w:top w:val="nil"/>
              <w:left w:val="nil"/>
              <w:bottom w:val="nil"/>
              <w:right w:val="nil"/>
            </w:tcBorders>
            <w:shd w:val="clear" w:color="auto" w:fill="auto"/>
            <w:noWrap/>
            <w:vAlign w:val="center"/>
            <w:hideMark/>
          </w:tcPr>
          <w:p w14:paraId="67E546E1" w14:textId="77777777" w:rsidR="000F7919" w:rsidRPr="00DD162A" w:rsidRDefault="000F7919" w:rsidP="000F7919">
            <w:pPr>
              <w:jc w:val="both"/>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Profit</w:t>
            </w:r>
          </w:p>
        </w:tc>
        <w:tc>
          <w:tcPr>
            <w:tcW w:w="1418" w:type="dxa"/>
            <w:tcBorders>
              <w:top w:val="nil"/>
              <w:left w:val="nil"/>
              <w:bottom w:val="nil"/>
              <w:right w:val="nil"/>
            </w:tcBorders>
            <w:shd w:val="clear" w:color="auto" w:fill="auto"/>
            <w:vAlign w:val="center"/>
          </w:tcPr>
          <w:p w14:paraId="61DD1CA6" w14:textId="77777777" w:rsidR="000F7919" w:rsidRPr="00DD162A" w:rsidRDefault="000F7919" w:rsidP="000F7919">
            <w:pPr>
              <w:jc w:val="right"/>
              <w:rPr>
                <w:rFonts w:ascii="Arial" w:eastAsia="Times New Roman" w:hAnsi="Arial" w:cs="Arial"/>
                <w:b/>
                <w:bCs/>
                <w:color w:val="000000"/>
                <w:sz w:val="20"/>
                <w:szCs w:val="20"/>
                <w:lang w:eastAsia="en-GB"/>
              </w:rPr>
            </w:pPr>
          </w:p>
        </w:tc>
        <w:tc>
          <w:tcPr>
            <w:tcW w:w="1417" w:type="dxa"/>
            <w:tcBorders>
              <w:top w:val="nil"/>
              <w:left w:val="nil"/>
              <w:bottom w:val="nil"/>
              <w:right w:val="nil"/>
            </w:tcBorders>
          </w:tcPr>
          <w:p w14:paraId="7AA0F041" w14:textId="77777777" w:rsidR="000F7919" w:rsidRPr="00DD162A" w:rsidRDefault="000F7919" w:rsidP="000F7919">
            <w:pPr>
              <w:jc w:val="right"/>
              <w:rPr>
                <w:rFonts w:ascii="Arial" w:eastAsia="Times New Roman" w:hAnsi="Arial" w:cs="Arial"/>
                <w:b/>
                <w:bCs/>
                <w:color w:val="000000"/>
                <w:sz w:val="20"/>
                <w:szCs w:val="20"/>
                <w:lang w:eastAsia="en-GB"/>
              </w:rPr>
            </w:pPr>
          </w:p>
        </w:tc>
        <w:tc>
          <w:tcPr>
            <w:tcW w:w="1559" w:type="dxa"/>
            <w:tcBorders>
              <w:top w:val="nil"/>
              <w:left w:val="nil"/>
              <w:bottom w:val="nil"/>
              <w:right w:val="nil"/>
            </w:tcBorders>
            <w:shd w:val="clear" w:color="auto" w:fill="auto"/>
            <w:noWrap/>
            <w:hideMark/>
          </w:tcPr>
          <w:p w14:paraId="0B2DF9A8" w14:textId="77777777" w:rsidR="000F7919" w:rsidRPr="00DD162A" w:rsidRDefault="000F7919" w:rsidP="000F7919">
            <w:pPr>
              <w:jc w:val="both"/>
              <w:rPr>
                <w:rFonts w:ascii="Arial" w:eastAsia="Times New Roman" w:hAnsi="Arial" w:cs="Arial"/>
                <w:sz w:val="20"/>
                <w:szCs w:val="20"/>
                <w:lang w:eastAsia="en-GB"/>
              </w:rPr>
            </w:pPr>
          </w:p>
        </w:tc>
      </w:tr>
      <w:tr w:rsidR="00B92C58" w:rsidRPr="00E2311C" w14:paraId="6D52ECF7" w14:textId="77777777" w:rsidTr="000F7919">
        <w:trPr>
          <w:trHeight w:val="288"/>
        </w:trPr>
        <w:tc>
          <w:tcPr>
            <w:tcW w:w="4570" w:type="dxa"/>
            <w:tcBorders>
              <w:top w:val="nil"/>
              <w:left w:val="nil"/>
              <w:bottom w:val="nil"/>
              <w:right w:val="nil"/>
            </w:tcBorders>
            <w:shd w:val="clear" w:color="auto" w:fill="auto"/>
            <w:noWrap/>
            <w:vAlign w:val="center"/>
            <w:hideMark/>
          </w:tcPr>
          <w:p w14:paraId="18DECD92" w14:textId="77777777" w:rsidR="00B92C58" w:rsidRPr="00DD162A" w:rsidRDefault="00B92C58" w:rsidP="00B92C58">
            <w:pPr>
              <w:rPr>
                <w:rFonts w:ascii="Arial" w:eastAsia="Times New Roman" w:hAnsi="Arial" w:cs="Arial"/>
                <w:color w:val="000000"/>
                <w:sz w:val="20"/>
                <w:szCs w:val="20"/>
                <w:lang w:eastAsia="en-GB"/>
              </w:rPr>
            </w:pPr>
            <w:r w:rsidRPr="00DD162A">
              <w:rPr>
                <w:rFonts w:ascii="Arial" w:eastAsia="Times New Roman" w:hAnsi="Arial" w:cs="Arial"/>
                <w:color w:val="000000"/>
                <w:sz w:val="20"/>
                <w:szCs w:val="20"/>
                <w:lang w:eastAsia="en-GB"/>
              </w:rPr>
              <w:t>Profit used in calculating basic and diluted EPS</w:t>
            </w:r>
          </w:p>
        </w:tc>
        <w:tc>
          <w:tcPr>
            <w:tcW w:w="1418" w:type="dxa"/>
            <w:tcBorders>
              <w:top w:val="nil"/>
              <w:left w:val="nil"/>
              <w:bottom w:val="nil"/>
              <w:right w:val="nil"/>
            </w:tcBorders>
            <w:shd w:val="clear" w:color="auto" w:fill="auto"/>
            <w:vAlign w:val="center"/>
          </w:tcPr>
          <w:p w14:paraId="3681129C" w14:textId="5C6898DC" w:rsidR="00B92C58" w:rsidRPr="005C44E8" w:rsidRDefault="0059457C" w:rsidP="00B92C58">
            <w:pPr>
              <w:jc w:val="right"/>
              <w:rPr>
                <w:rFonts w:ascii="Arial" w:eastAsia="Times New Roman" w:hAnsi="Arial" w:cs="Arial"/>
                <w:bCs/>
                <w:color w:val="000000"/>
                <w:sz w:val="20"/>
                <w:szCs w:val="20"/>
                <w:lang w:eastAsia="en-GB"/>
              </w:rPr>
            </w:pPr>
            <w:r w:rsidRPr="005C44E8">
              <w:rPr>
                <w:rFonts w:ascii="Arial" w:eastAsia="Times New Roman" w:hAnsi="Arial" w:cs="Arial"/>
                <w:bCs/>
                <w:color w:val="000000"/>
                <w:sz w:val="20"/>
                <w:szCs w:val="20"/>
                <w:lang w:eastAsia="en-GB"/>
              </w:rPr>
              <w:t>28,324.</w:t>
            </w:r>
            <w:r w:rsidR="00A02446" w:rsidRPr="005C44E8">
              <w:rPr>
                <w:rFonts w:ascii="Arial" w:eastAsia="Times New Roman" w:hAnsi="Arial" w:cs="Arial"/>
                <w:bCs/>
                <w:color w:val="000000"/>
                <w:sz w:val="20"/>
                <w:szCs w:val="20"/>
                <w:lang w:eastAsia="en-GB"/>
              </w:rPr>
              <w:t>1</w:t>
            </w:r>
          </w:p>
        </w:tc>
        <w:tc>
          <w:tcPr>
            <w:tcW w:w="1417" w:type="dxa"/>
            <w:tcBorders>
              <w:top w:val="nil"/>
              <w:left w:val="nil"/>
              <w:bottom w:val="nil"/>
              <w:right w:val="nil"/>
            </w:tcBorders>
            <w:vAlign w:val="center"/>
          </w:tcPr>
          <w:p w14:paraId="10B3C9D6" w14:textId="01158C16" w:rsidR="00B92C58" w:rsidRPr="00E2311C" w:rsidRDefault="00B92C58" w:rsidP="00B92C58">
            <w:pPr>
              <w:jc w:val="right"/>
              <w:rPr>
                <w:rFonts w:ascii="Arial" w:eastAsia="Times New Roman" w:hAnsi="Arial" w:cs="Arial"/>
                <w:bCs/>
                <w:color w:val="000000"/>
                <w:sz w:val="20"/>
                <w:szCs w:val="20"/>
                <w:lang w:eastAsia="en-GB"/>
              </w:rPr>
            </w:pPr>
            <w:r w:rsidRPr="002214DA">
              <w:rPr>
                <w:rFonts w:ascii="Arial" w:eastAsia="Times New Roman" w:hAnsi="Arial" w:cs="Arial"/>
                <w:bCs/>
                <w:color w:val="000000"/>
                <w:sz w:val="20"/>
                <w:szCs w:val="20"/>
                <w:lang w:eastAsia="en-GB"/>
              </w:rPr>
              <w:t>26,463.8</w:t>
            </w:r>
          </w:p>
        </w:tc>
        <w:tc>
          <w:tcPr>
            <w:tcW w:w="1559" w:type="dxa"/>
            <w:tcBorders>
              <w:top w:val="nil"/>
              <w:left w:val="nil"/>
              <w:bottom w:val="nil"/>
              <w:right w:val="nil"/>
            </w:tcBorders>
            <w:shd w:val="clear" w:color="auto" w:fill="auto"/>
            <w:vAlign w:val="center"/>
          </w:tcPr>
          <w:p w14:paraId="5C52BE14" w14:textId="46206DF8" w:rsidR="00B92C58" w:rsidRPr="00E2311C" w:rsidRDefault="000E6FD8" w:rsidP="00B92C58">
            <w:pPr>
              <w:jc w:val="right"/>
              <w:rPr>
                <w:rFonts w:ascii="Arial" w:eastAsia="Times New Roman" w:hAnsi="Arial" w:cs="Arial"/>
                <w:bCs/>
                <w:color w:val="000000"/>
                <w:sz w:val="20"/>
                <w:szCs w:val="20"/>
                <w:lang w:eastAsia="en-GB"/>
              </w:rPr>
            </w:pPr>
            <w:r w:rsidRPr="00B42A71">
              <w:rPr>
                <w:rFonts w:ascii="Arial" w:eastAsia="Times New Roman" w:hAnsi="Arial" w:cs="Arial"/>
                <w:color w:val="000000" w:themeColor="text1"/>
                <w:sz w:val="20"/>
                <w:szCs w:val="20"/>
                <w:lang w:eastAsia="en-GB"/>
              </w:rPr>
              <w:t>61,775.8</w:t>
            </w:r>
          </w:p>
        </w:tc>
      </w:tr>
      <w:tr w:rsidR="00B92C58" w:rsidRPr="00DD162A" w14:paraId="4378FEE5" w14:textId="77777777" w:rsidTr="000F7919">
        <w:trPr>
          <w:trHeight w:val="288"/>
        </w:trPr>
        <w:tc>
          <w:tcPr>
            <w:tcW w:w="4570" w:type="dxa"/>
            <w:tcBorders>
              <w:top w:val="nil"/>
              <w:left w:val="nil"/>
              <w:bottom w:val="nil"/>
              <w:right w:val="nil"/>
            </w:tcBorders>
            <w:shd w:val="clear" w:color="auto" w:fill="auto"/>
            <w:noWrap/>
            <w:vAlign w:val="center"/>
            <w:hideMark/>
          </w:tcPr>
          <w:p w14:paraId="2159A88F" w14:textId="77777777" w:rsidR="00B92C58" w:rsidRPr="00DD162A" w:rsidRDefault="00B92C58" w:rsidP="00B92C58">
            <w:pPr>
              <w:jc w:val="right"/>
              <w:rPr>
                <w:rFonts w:ascii="Arial" w:eastAsia="Times New Roman" w:hAnsi="Arial" w:cs="Arial"/>
                <w:color w:val="000000"/>
                <w:sz w:val="20"/>
                <w:szCs w:val="20"/>
                <w:lang w:eastAsia="en-GB"/>
              </w:rPr>
            </w:pPr>
          </w:p>
        </w:tc>
        <w:tc>
          <w:tcPr>
            <w:tcW w:w="1418" w:type="dxa"/>
            <w:tcBorders>
              <w:top w:val="nil"/>
              <w:left w:val="nil"/>
              <w:bottom w:val="nil"/>
              <w:right w:val="nil"/>
            </w:tcBorders>
            <w:shd w:val="clear" w:color="auto" w:fill="auto"/>
            <w:vAlign w:val="center"/>
          </w:tcPr>
          <w:p w14:paraId="07A42DED" w14:textId="77777777" w:rsidR="00B92C58" w:rsidRPr="005C44E8" w:rsidRDefault="00B92C58" w:rsidP="00B92C58">
            <w:pPr>
              <w:jc w:val="right"/>
              <w:rPr>
                <w:rFonts w:ascii="Arial" w:eastAsia="Times New Roman" w:hAnsi="Arial" w:cs="Arial"/>
                <w:bCs/>
                <w:color w:val="000000"/>
                <w:sz w:val="20"/>
                <w:szCs w:val="20"/>
                <w:lang w:eastAsia="en-GB"/>
              </w:rPr>
            </w:pPr>
          </w:p>
        </w:tc>
        <w:tc>
          <w:tcPr>
            <w:tcW w:w="1417" w:type="dxa"/>
            <w:tcBorders>
              <w:top w:val="nil"/>
              <w:left w:val="nil"/>
              <w:bottom w:val="nil"/>
              <w:right w:val="nil"/>
            </w:tcBorders>
            <w:vAlign w:val="center"/>
          </w:tcPr>
          <w:p w14:paraId="40828483" w14:textId="77777777" w:rsidR="00B92C58" w:rsidRPr="00DD162A" w:rsidRDefault="00B92C58" w:rsidP="00B92C58">
            <w:pPr>
              <w:jc w:val="right"/>
              <w:rPr>
                <w:rFonts w:ascii="Arial" w:eastAsia="Times New Roman" w:hAnsi="Arial" w:cs="Arial"/>
                <w:b/>
                <w:bCs/>
                <w:color w:val="000000"/>
                <w:sz w:val="20"/>
                <w:szCs w:val="20"/>
                <w:lang w:eastAsia="en-GB"/>
              </w:rPr>
            </w:pPr>
          </w:p>
        </w:tc>
        <w:tc>
          <w:tcPr>
            <w:tcW w:w="1559" w:type="dxa"/>
            <w:tcBorders>
              <w:top w:val="nil"/>
              <w:left w:val="nil"/>
              <w:bottom w:val="nil"/>
              <w:right w:val="nil"/>
            </w:tcBorders>
            <w:shd w:val="clear" w:color="auto" w:fill="auto"/>
            <w:vAlign w:val="center"/>
          </w:tcPr>
          <w:p w14:paraId="6A225DE5" w14:textId="77777777" w:rsidR="00B92C58" w:rsidRPr="00DD162A" w:rsidRDefault="00B92C58" w:rsidP="00B92C58">
            <w:pPr>
              <w:rPr>
                <w:rFonts w:ascii="Arial" w:eastAsia="Times New Roman" w:hAnsi="Arial" w:cs="Arial"/>
                <w:sz w:val="20"/>
                <w:szCs w:val="20"/>
                <w:lang w:eastAsia="en-GB"/>
              </w:rPr>
            </w:pPr>
          </w:p>
        </w:tc>
      </w:tr>
      <w:tr w:rsidR="00B92C58" w:rsidRPr="00DD162A" w14:paraId="0EE7A5D9" w14:textId="77777777" w:rsidTr="000F7919">
        <w:trPr>
          <w:trHeight w:val="288"/>
        </w:trPr>
        <w:tc>
          <w:tcPr>
            <w:tcW w:w="4570" w:type="dxa"/>
            <w:tcBorders>
              <w:top w:val="nil"/>
              <w:left w:val="nil"/>
              <w:bottom w:val="nil"/>
              <w:right w:val="nil"/>
            </w:tcBorders>
            <w:shd w:val="clear" w:color="auto" w:fill="auto"/>
            <w:noWrap/>
            <w:vAlign w:val="center"/>
            <w:hideMark/>
          </w:tcPr>
          <w:p w14:paraId="13D775D4" w14:textId="77777777" w:rsidR="00B92C58" w:rsidRPr="00DD162A" w:rsidRDefault="00B92C58" w:rsidP="00B92C58">
            <w:pPr>
              <w:jc w:val="both"/>
              <w:rPr>
                <w:rFonts w:ascii="Arial" w:eastAsia="Times New Roman" w:hAnsi="Arial" w:cs="Arial"/>
                <w:b/>
                <w:bCs/>
                <w:color w:val="000000"/>
                <w:sz w:val="20"/>
                <w:szCs w:val="20"/>
                <w:lang w:eastAsia="en-GB"/>
              </w:rPr>
            </w:pPr>
            <w:r w:rsidRPr="00DD162A">
              <w:rPr>
                <w:rFonts w:ascii="Arial" w:eastAsia="Times New Roman" w:hAnsi="Arial" w:cs="Arial"/>
                <w:b/>
                <w:bCs/>
                <w:color w:val="000000"/>
                <w:sz w:val="20"/>
                <w:szCs w:val="20"/>
                <w:lang w:eastAsia="en-GB"/>
              </w:rPr>
              <w:t>Number of shares</w:t>
            </w:r>
          </w:p>
        </w:tc>
        <w:tc>
          <w:tcPr>
            <w:tcW w:w="1418" w:type="dxa"/>
            <w:tcBorders>
              <w:top w:val="nil"/>
              <w:left w:val="nil"/>
              <w:bottom w:val="nil"/>
              <w:right w:val="nil"/>
            </w:tcBorders>
            <w:shd w:val="clear" w:color="auto" w:fill="auto"/>
            <w:vAlign w:val="center"/>
          </w:tcPr>
          <w:p w14:paraId="4BD0094D" w14:textId="77777777" w:rsidR="00B92C58" w:rsidRPr="005C44E8" w:rsidRDefault="00B92C58" w:rsidP="00B92C58">
            <w:pPr>
              <w:jc w:val="right"/>
              <w:rPr>
                <w:rFonts w:ascii="Arial" w:eastAsia="Times New Roman" w:hAnsi="Arial" w:cs="Arial"/>
                <w:bCs/>
                <w:color w:val="000000"/>
                <w:sz w:val="20"/>
                <w:szCs w:val="20"/>
                <w:lang w:eastAsia="en-GB"/>
              </w:rPr>
            </w:pPr>
          </w:p>
        </w:tc>
        <w:tc>
          <w:tcPr>
            <w:tcW w:w="1417" w:type="dxa"/>
            <w:tcBorders>
              <w:top w:val="nil"/>
              <w:left w:val="nil"/>
              <w:bottom w:val="nil"/>
              <w:right w:val="nil"/>
            </w:tcBorders>
            <w:vAlign w:val="center"/>
          </w:tcPr>
          <w:p w14:paraId="0701AD29" w14:textId="77777777" w:rsidR="00B92C58" w:rsidRPr="00DD162A" w:rsidRDefault="00B92C58" w:rsidP="00B92C58">
            <w:pPr>
              <w:jc w:val="right"/>
              <w:rPr>
                <w:rFonts w:ascii="Arial" w:eastAsia="Times New Roman" w:hAnsi="Arial" w:cs="Arial"/>
                <w:b/>
                <w:bCs/>
                <w:color w:val="000000"/>
                <w:sz w:val="20"/>
                <w:szCs w:val="20"/>
                <w:lang w:eastAsia="en-GB"/>
              </w:rPr>
            </w:pPr>
          </w:p>
        </w:tc>
        <w:tc>
          <w:tcPr>
            <w:tcW w:w="1559" w:type="dxa"/>
            <w:tcBorders>
              <w:top w:val="nil"/>
              <w:left w:val="nil"/>
              <w:bottom w:val="nil"/>
              <w:right w:val="nil"/>
            </w:tcBorders>
            <w:shd w:val="clear" w:color="auto" w:fill="auto"/>
            <w:vAlign w:val="center"/>
          </w:tcPr>
          <w:p w14:paraId="665CBDBB" w14:textId="77777777" w:rsidR="00B92C58" w:rsidRPr="00DD162A" w:rsidRDefault="00B92C58" w:rsidP="00B92C58">
            <w:pPr>
              <w:jc w:val="both"/>
              <w:rPr>
                <w:rFonts w:ascii="Arial" w:eastAsia="Times New Roman" w:hAnsi="Arial" w:cs="Arial"/>
                <w:b/>
                <w:bCs/>
                <w:color w:val="000000"/>
                <w:sz w:val="20"/>
                <w:szCs w:val="20"/>
                <w:lang w:eastAsia="en-GB"/>
              </w:rPr>
            </w:pPr>
          </w:p>
        </w:tc>
      </w:tr>
      <w:tr w:rsidR="00B92C58" w:rsidRPr="00DD162A" w14:paraId="21E17F83" w14:textId="77777777" w:rsidTr="000F7919">
        <w:trPr>
          <w:trHeight w:val="516"/>
        </w:trPr>
        <w:tc>
          <w:tcPr>
            <w:tcW w:w="4570" w:type="dxa"/>
            <w:tcBorders>
              <w:top w:val="nil"/>
              <w:left w:val="nil"/>
              <w:bottom w:val="nil"/>
              <w:right w:val="nil"/>
            </w:tcBorders>
            <w:shd w:val="clear" w:color="auto" w:fill="auto"/>
            <w:noWrap/>
            <w:vAlign w:val="bottom"/>
            <w:hideMark/>
          </w:tcPr>
          <w:p w14:paraId="67D2336C" w14:textId="77777777" w:rsidR="00B92C58" w:rsidRDefault="00B92C58" w:rsidP="00B92C58">
            <w:pPr>
              <w:rPr>
                <w:rFonts w:ascii="Arial" w:eastAsia="Times New Roman" w:hAnsi="Arial" w:cs="Arial"/>
                <w:color w:val="000000"/>
                <w:sz w:val="20"/>
                <w:szCs w:val="20"/>
                <w:lang w:eastAsia="en-GB"/>
              </w:rPr>
            </w:pPr>
            <w:r w:rsidRPr="00DD162A">
              <w:rPr>
                <w:rFonts w:ascii="Arial" w:eastAsia="Times New Roman" w:hAnsi="Arial" w:cs="Arial"/>
                <w:color w:val="000000"/>
                <w:sz w:val="20"/>
                <w:szCs w:val="20"/>
                <w:lang w:eastAsia="en-GB"/>
              </w:rPr>
              <w:t>Weighted average number of shares for the purpose of</w:t>
            </w:r>
            <w:r>
              <w:rPr>
                <w:rFonts w:ascii="Arial" w:eastAsia="Times New Roman" w:hAnsi="Arial" w:cs="Arial"/>
                <w:color w:val="000000"/>
                <w:sz w:val="20"/>
                <w:szCs w:val="20"/>
                <w:lang w:eastAsia="en-GB"/>
              </w:rPr>
              <w:t xml:space="preserve"> </w:t>
            </w:r>
            <w:r w:rsidRPr="00DD162A">
              <w:rPr>
                <w:rFonts w:ascii="Arial" w:eastAsia="Times New Roman" w:hAnsi="Arial" w:cs="Arial"/>
                <w:color w:val="000000"/>
                <w:sz w:val="20"/>
                <w:szCs w:val="20"/>
                <w:lang w:eastAsia="en-GB"/>
              </w:rPr>
              <w:t>basic earnings per share</w:t>
            </w:r>
          </w:p>
          <w:p w14:paraId="060B9BEA" w14:textId="77777777" w:rsidR="00B92C58" w:rsidRPr="00DD162A" w:rsidRDefault="00B92C58" w:rsidP="00B92C58">
            <w:pPr>
              <w:rPr>
                <w:rFonts w:ascii="Arial" w:eastAsia="Times New Roman" w:hAnsi="Arial" w:cs="Arial"/>
                <w:color w:val="000000"/>
                <w:sz w:val="20"/>
                <w:szCs w:val="20"/>
                <w:lang w:eastAsia="en-GB"/>
              </w:rPr>
            </w:pPr>
          </w:p>
        </w:tc>
        <w:tc>
          <w:tcPr>
            <w:tcW w:w="1418" w:type="dxa"/>
            <w:tcBorders>
              <w:top w:val="nil"/>
              <w:left w:val="nil"/>
              <w:bottom w:val="nil"/>
              <w:right w:val="nil"/>
            </w:tcBorders>
            <w:shd w:val="clear" w:color="auto" w:fill="auto"/>
            <w:vAlign w:val="bottom"/>
          </w:tcPr>
          <w:p w14:paraId="06692625" w14:textId="378CAA61" w:rsidR="00B92C58" w:rsidRPr="005C44E8" w:rsidRDefault="0059457C" w:rsidP="00B92C58">
            <w:pPr>
              <w:jc w:val="right"/>
              <w:rPr>
                <w:rFonts w:ascii="Arial" w:eastAsia="Times New Roman" w:hAnsi="Arial" w:cs="Arial"/>
                <w:bCs/>
                <w:color w:val="000000"/>
                <w:sz w:val="20"/>
                <w:szCs w:val="20"/>
                <w:lang w:eastAsia="en-GB"/>
              </w:rPr>
            </w:pPr>
            <w:r w:rsidRPr="005C44E8">
              <w:rPr>
                <w:rFonts w:ascii="Arial" w:eastAsia="Times New Roman" w:hAnsi="Arial" w:cs="Arial"/>
                <w:bCs/>
                <w:color w:val="000000"/>
                <w:sz w:val="20"/>
                <w:szCs w:val="20"/>
                <w:lang w:eastAsia="en-GB"/>
              </w:rPr>
              <w:t>116,121,648</w:t>
            </w:r>
          </w:p>
        </w:tc>
        <w:tc>
          <w:tcPr>
            <w:tcW w:w="1417" w:type="dxa"/>
            <w:tcBorders>
              <w:top w:val="nil"/>
              <w:left w:val="nil"/>
              <w:bottom w:val="nil"/>
              <w:right w:val="nil"/>
            </w:tcBorders>
            <w:vAlign w:val="bottom"/>
          </w:tcPr>
          <w:p w14:paraId="0AE90D85" w14:textId="32ABC703" w:rsidR="00B92C58" w:rsidRPr="00DD162A" w:rsidRDefault="00B92C58" w:rsidP="00B92C58">
            <w:pPr>
              <w:jc w:val="right"/>
              <w:rPr>
                <w:rFonts w:ascii="Arial" w:eastAsia="Times New Roman" w:hAnsi="Arial" w:cs="Arial"/>
                <w:b/>
                <w:bCs/>
                <w:color w:val="000000"/>
                <w:sz w:val="20"/>
                <w:szCs w:val="20"/>
                <w:lang w:eastAsia="en-GB"/>
              </w:rPr>
            </w:pPr>
            <w:r w:rsidRPr="00D05398">
              <w:rPr>
                <w:rFonts w:ascii="Arial" w:eastAsia="Times New Roman" w:hAnsi="Arial" w:cs="Arial"/>
                <w:bCs/>
                <w:color w:val="000000"/>
                <w:sz w:val="20"/>
                <w:szCs w:val="20"/>
                <w:lang w:eastAsia="en-GB"/>
              </w:rPr>
              <w:t>115,494,587</w:t>
            </w:r>
          </w:p>
        </w:tc>
        <w:tc>
          <w:tcPr>
            <w:tcW w:w="1559" w:type="dxa"/>
            <w:tcBorders>
              <w:top w:val="nil"/>
              <w:left w:val="nil"/>
              <w:bottom w:val="nil"/>
              <w:right w:val="nil"/>
            </w:tcBorders>
            <w:shd w:val="clear" w:color="auto" w:fill="auto"/>
            <w:vAlign w:val="bottom"/>
          </w:tcPr>
          <w:p w14:paraId="29B86403" w14:textId="4406F548" w:rsidR="00B92C58" w:rsidRPr="00DD162A" w:rsidRDefault="000E6FD8" w:rsidP="00B92C58">
            <w:pPr>
              <w:jc w:val="right"/>
              <w:rPr>
                <w:rFonts w:ascii="Arial" w:eastAsia="Times New Roman" w:hAnsi="Arial" w:cs="Arial"/>
                <w:color w:val="000000"/>
                <w:sz w:val="20"/>
                <w:szCs w:val="20"/>
                <w:lang w:eastAsia="en-GB"/>
              </w:rPr>
            </w:pPr>
            <w:r w:rsidRPr="00B42A71">
              <w:rPr>
                <w:rFonts w:ascii="Arial" w:eastAsia="Times New Roman" w:hAnsi="Arial" w:cs="Arial"/>
                <w:color w:val="000000" w:themeColor="text1"/>
                <w:sz w:val="20"/>
                <w:szCs w:val="20"/>
                <w:lang w:eastAsia="en-GB"/>
              </w:rPr>
              <w:t>115,734,845</w:t>
            </w:r>
          </w:p>
        </w:tc>
      </w:tr>
      <w:tr w:rsidR="00B92C58" w:rsidRPr="00DD162A" w14:paraId="1B082912" w14:textId="77777777" w:rsidTr="000F7919">
        <w:trPr>
          <w:trHeight w:val="294"/>
        </w:trPr>
        <w:tc>
          <w:tcPr>
            <w:tcW w:w="4570" w:type="dxa"/>
            <w:tcBorders>
              <w:top w:val="nil"/>
              <w:left w:val="nil"/>
              <w:bottom w:val="nil"/>
              <w:right w:val="nil"/>
            </w:tcBorders>
            <w:shd w:val="clear" w:color="auto" w:fill="auto"/>
            <w:noWrap/>
            <w:vAlign w:val="bottom"/>
            <w:hideMark/>
          </w:tcPr>
          <w:p w14:paraId="62E595CF" w14:textId="77777777" w:rsidR="00B92C58" w:rsidRPr="00DD162A" w:rsidRDefault="00B92C58" w:rsidP="00B92C58">
            <w:pPr>
              <w:rPr>
                <w:rFonts w:ascii="Arial" w:eastAsia="Times New Roman" w:hAnsi="Arial" w:cs="Arial"/>
                <w:color w:val="000000"/>
                <w:sz w:val="20"/>
                <w:szCs w:val="20"/>
                <w:lang w:eastAsia="en-GB"/>
              </w:rPr>
            </w:pPr>
            <w:r w:rsidRPr="00DD162A">
              <w:rPr>
                <w:rFonts w:ascii="Arial" w:eastAsia="Times New Roman" w:hAnsi="Arial" w:cs="Arial"/>
                <w:color w:val="000000"/>
                <w:sz w:val="20"/>
                <w:szCs w:val="20"/>
                <w:lang w:eastAsia="en-GB"/>
              </w:rPr>
              <w:t>Weighted average number of employee share options outstanding</w:t>
            </w:r>
          </w:p>
        </w:tc>
        <w:tc>
          <w:tcPr>
            <w:tcW w:w="1418" w:type="dxa"/>
            <w:tcBorders>
              <w:top w:val="nil"/>
              <w:left w:val="nil"/>
              <w:bottom w:val="single" w:sz="8" w:space="0" w:color="auto"/>
              <w:right w:val="nil"/>
            </w:tcBorders>
            <w:shd w:val="clear" w:color="auto" w:fill="auto"/>
            <w:vAlign w:val="bottom"/>
          </w:tcPr>
          <w:p w14:paraId="1CB12282" w14:textId="6F91D0EB" w:rsidR="00B92C58" w:rsidRPr="005C44E8" w:rsidRDefault="005C44E8" w:rsidP="00B92C58">
            <w:pPr>
              <w:jc w:val="right"/>
              <w:rPr>
                <w:rFonts w:ascii="Arial" w:eastAsia="Times New Roman" w:hAnsi="Arial" w:cs="Arial"/>
                <w:bCs/>
                <w:color w:val="000000"/>
                <w:sz w:val="20"/>
                <w:szCs w:val="20"/>
                <w:lang w:eastAsia="en-GB"/>
              </w:rPr>
            </w:pPr>
            <w:r w:rsidRPr="005C44E8">
              <w:rPr>
                <w:rFonts w:ascii="Arial" w:eastAsia="Times New Roman" w:hAnsi="Arial" w:cs="Arial"/>
                <w:bCs/>
                <w:color w:val="000000"/>
                <w:sz w:val="20"/>
                <w:szCs w:val="20"/>
                <w:lang w:eastAsia="en-GB"/>
              </w:rPr>
              <w:t>427,211</w:t>
            </w:r>
          </w:p>
        </w:tc>
        <w:tc>
          <w:tcPr>
            <w:tcW w:w="1417" w:type="dxa"/>
            <w:tcBorders>
              <w:top w:val="nil"/>
              <w:left w:val="nil"/>
              <w:bottom w:val="single" w:sz="8" w:space="0" w:color="auto"/>
              <w:right w:val="nil"/>
            </w:tcBorders>
            <w:vAlign w:val="bottom"/>
          </w:tcPr>
          <w:p w14:paraId="528595D0" w14:textId="02FE9F94" w:rsidR="00B92C58" w:rsidRPr="00952050" w:rsidRDefault="00B92C58" w:rsidP="00B92C58">
            <w:pPr>
              <w:jc w:val="right"/>
              <w:rPr>
                <w:rFonts w:ascii="Arial" w:eastAsia="Times New Roman" w:hAnsi="Arial" w:cs="Arial"/>
                <w:bCs/>
                <w:color w:val="000000"/>
                <w:sz w:val="20"/>
                <w:szCs w:val="20"/>
                <w:highlight w:val="yellow"/>
                <w:lang w:eastAsia="en-GB"/>
              </w:rPr>
            </w:pPr>
            <w:r w:rsidRPr="00D05398">
              <w:rPr>
                <w:rFonts w:ascii="Arial" w:eastAsia="Times New Roman" w:hAnsi="Arial" w:cs="Arial"/>
                <w:bCs/>
                <w:color w:val="000000"/>
                <w:sz w:val="20"/>
                <w:szCs w:val="20"/>
                <w:lang w:eastAsia="en-GB"/>
              </w:rPr>
              <w:t>966,337</w:t>
            </w:r>
          </w:p>
        </w:tc>
        <w:tc>
          <w:tcPr>
            <w:tcW w:w="1559" w:type="dxa"/>
            <w:tcBorders>
              <w:top w:val="nil"/>
              <w:left w:val="nil"/>
              <w:bottom w:val="single" w:sz="8" w:space="0" w:color="auto"/>
              <w:right w:val="nil"/>
            </w:tcBorders>
            <w:shd w:val="clear" w:color="auto" w:fill="auto"/>
            <w:vAlign w:val="bottom"/>
          </w:tcPr>
          <w:p w14:paraId="69D13C6E" w14:textId="1BF55715" w:rsidR="00B92C58" w:rsidRPr="00DD162A" w:rsidRDefault="000E6FD8" w:rsidP="00B92C58">
            <w:pPr>
              <w:jc w:val="right"/>
              <w:rPr>
                <w:rFonts w:ascii="Arial" w:eastAsia="Times New Roman" w:hAnsi="Arial" w:cs="Arial"/>
                <w:color w:val="000000"/>
                <w:sz w:val="20"/>
                <w:szCs w:val="20"/>
                <w:lang w:eastAsia="en-GB"/>
              </w:rPr>
            </w:pPr>
            <w:r w:rsidRPr="00B42A71">
              <w:rPr>
                <w:rFonts w:ascii="Arial" w:eastAsia="Times New Roman" w:hAnsi="Arial" w:cs="Arial"/>
                <w:color w:val="000000" w:themeColor="text1"/>
                <w:sz w:val="20"/>
                <w:szCs w:val="20"/>
                <w:lang w:eastAsia="en-GB"/>
              </w:rPr>
              <w:t>396,350</w:t>
            </w:r>
          </w:p>
        </w:tc>
      </w:tr>
      <w:tr w:rsidR="000E6FD8" w:rsidRPr="00DD162A" w14:paraId="7972B43F" w14:textId="77777777" w:rsidTr="00E35B30">
        <w:trPr>
          <w:trHeight w:val="522"/>
        </w:trPr>
        <w:tc>
          <w:tcPr>
            <w:tcW w:w="4570" w:type="dxa"/>
            <w:tcBorders>
              <w:top w:val="nil"/>
              <w:left w:val="nil"/>
              <w:bottom w:val="nil"/>
              <w:right w:val="nil"/>
            </w:tcBorders>
            <w:shd w:val="clear" w:color="auto" w:fill="auto"/>
            <w:noWrap/>
            <w:vAlign w:val="bottom"/>
            <w:hideMark/>
          </w:tcPr>
          <w:p w14:paraId="231C5A9A" w14:textId="77777777" w:rsidR="000E6FD8" w:rsidRDefault="000E6FD8" w:rsidP="000E6FD8">
            <w:pPr>
              <w:rPr>
                <w:rFonts w:ascii="Arial" w:eastAsia="Times New Roman" w:hAnsi="Arial" w:cs="Arial"/>
                <w:color w:val="000000"/>
                <w:sz w:val="20"/>
                <w:szCs w:val="20"/>
                <w:lang w:eastAsia="en-GB"/>
              </w:rPr>
            </w:pPr>
          </w:p>
          <w:p w14:paraId="11CC8F3A" w14:textId="77777777" w:rsidR="000E6FD8" w:rsidRPr="00DD162A" w:rsidRDefault="000E6FD8" w:rsidP="000E6FD8">
            <w:pPr>
              <w:rPr>
                <w:rFonts w:ascii="Arial" w:eastAsia="Times New Roman" w:hAnsi="Arial" w:cs="Arial"/>
                <w:color w:val="000000"/>
                <w:sz w:val="20"/>
                <w:szCs w:val="20"/>
                <w:lang w:eastAsia="en-GB"/>
              </w:rPr>
            </w:pPr>
            <w:r w:rsidRPr="00DD162A">
              <w:rPr>
                <w:rFonts w:ascii="Arial" w:eastAsia="Times New Roman" w:hAnsi="Arial" w:cs="Arial"/>
                <w:color w:val="000000"/>
                <w:sz w:val="20"/>
                <w:szCs w:val="20"/>
                <w:lang w:eastAsia="en-GB"/>
              </w:rPr>
              <w:t>Weighted average number of shares for the purpose of diluted earnings per share</w:t>
            </w:r>
          </w:p>
        </w:tc>
        <w:tc>
          <w:tcPr>
            <w:tcW w:w="1418" w:type="dxa"/>
            <w:tcBorders>
              <w:top w:val="nil"/>
              <w:left w:val="nil"/>
              <w:bottom w:val="single" w:sz="8" w:space="0" w:color="auto"/>
              <w:right w:val="nil"/>
            </w:tcBorders>
            <w:shd w:val="clear" w:color="auto" w:fill="auto"/>
            <w:vAlign w:val="bottom"/>
          </w:tcPr>
          <w:p w14:paraId="6F9F7045" w14:textId="6A0ABB55" w:rsidR="000E6FD8" w:rsidRPr="005C44E8" w:rsidRDefault="005C44E8" w:rsidP="000E6FD8">
            <w:pPr>
              <w:jc w:val="right"/>
              <w:rPr>
                <w:rFonts w:ascii="Arial" w:eastAsia="Times New Roman" w:hAnsi="Arial" w:cs="Arial"/>
                <w:bCs/>
                <w:color w:val="000000"/>
                <w:sz w:val="20"/>
                <w:szCs w:val="20"/>
                <w:lang w:eastAsia="en-GB"/>
              </w:rPr>
            </w:pPr>
            <w:r w:rsidRPr="005C44E8">
              <w:rPr>
                <w:rFonts w:ascii="Arial" w:eastAsia="Times New Roman" w:hAnsi="Arial" w:cs="Arial"/>
                <w:bCs/>
                <w:color w:val="000000"/>
                <w:sz w:val="20"/>
                <w:szCs w:val="20"/>
                <w:lang w:eastAsia="en-GB"/>
              </w:rPr>
              <w:t>116,548,859</w:t>
            </w:r>
          </w:p>
        </w:tc>
        <w:tc>
          <w:tcPr>
            <w:tcW w:w="1417" w:type="dxa"/>
            <w:tcBorders>
              <w:top w:val="nil"/>
              <w:left w:val="nil"/>
              <w:bottom w:val="single" w:sz="8" w:space="0" w:color="auto"/>
              <w:right w:val="nil"/>
            </w:tcBorders>
            <w:vAlign w:val="bottom"/>
          </w:tcPr>
          <w:p w14:paraId="52A2FCDA" w14:textId="7D3C9571" w:rsidR="000E6FD8" w:rsidRPr="00952050" w:rsidRDefault="000E6FD8" w:rsidP="000E6FD8">
            <w:pPr>
              <w:jc w:val="right"/>
              <w:rPr>
                <w:rFonts w:ascii="Arial" w:eastAsia="Times New Roman" w:hAnsi="Arial" w:cs="Arial"/>
                <w:color w:val="000000"/>
                <w:sz w:val="20"/>
                <w:szCs w:val="20"/>
                <w:highlight w:val="yellow"/>
                <w:lang w:eastAsia="en-GB"/>
              </w:rPr>
            </w:pPr>
            <w:r w:rsidRPr="00D05398">
              <w:rPr>
                <w:rFonts w:ascii="Arial" w:eastAsia="Times New Roman" w:hAnsi="Arial" w:cs="Arial"/>
                <w:bCs/>
                <w:color w:val="000000"/>
                <w:sz w:val="20"/>
                <w:szCs w:val="20"/>
                <w:lang w:eastAsia="en-GB"/>
              </w:rPr>
              <w:t>116,460,924</w:t>
            </w:r>
          </w:p>
        </w:tc>
        <w:tc>
          <w:tcPr>
            <w:tcW w:w="1559" w:type="dxa"/>
            <w:tcBorders>
              <w:top w:val="nil"/>
              <w:left w:val="nil"/>
              <w:bottom w:val="single" w:sz="8" w:space="0" w:color="auto"/>
              <w:right w:val="nil"/>
            </w:tcBorders>
            <w:shd w:val="clear" w:color="auto" w:fill="auto"/>
            <w:vAlign w:val="bottom"/>
          </w:tcPr>
          <w:p w14:paraId="51CB25B7" w14:textId="5612D7E1" w:rsidR="000E6FD8" w:rsidRPr="00DD162A" w:rsidRDefault="000E6FD8" w:rsidP="00E35B30">
            <w:pPr>
              <w:jc w:val="right"/>
              <w:rPr>
                <w:rFonts w:ascii="Arial" w:eastAsia="Times New Roman" w:hAnsi="Arial" w:cs="Arial"/>
                <w:color w:val="000000"/>
                <w:sz w:val="20"/>
                <w:szCs w:val="20"/>
                <w:lang w:eastAsia="en-GB"/>
              </w:rPr>
            </w:pPr>
            <w:r w:rsidRPr="00B42A71">
              <w:rPr>
                <w:rFonts w:ascii="Arial" w:eastAsia="Times New Roman" w:hAnsi="Arial" w:cs="Arial"/>
                <w:color w:val="000000" w:themeColor="text1"/>
                <w:sz w:val="20"/>
                <w:szCs w:val="20"/>
                <w:lang w:eastAsia="en-GB"/>
              </w:rPr>
              <w:t>116,131,19</w:t>
            </w:r>
            <w:r>
              <w:rPr>
                <w:rFonts w:ascii="Arial" w:eastAsia="Times New Roman" w:hAnsi="Arial" w:cs="Arial"/>
                <w:color w:val="000000" w:themeColor="text1"/>
                <w:sz w:val="20"/>
                <w:szCs w:val="20"/>
                <w:lang w:eastAsia="en-GB"/>
              </w:rPr>
              <w:t>5</w:t>
            </w:r>
          </w:p>
        </w:tc>
      </w:tr>
      <w:tr w:rsidR="000E6FD8" w:rsidRPr="00DD162A" w14:paraId="61D77CF5" w14:textId="77777777" w:rsidTr="000F7919">
        <w:trPr>
          <w:trHeight w:val="288"/>
        </w:trPr>
        <w:tc>
          <w:tcPr>
            <w:tcW w:w="4570" w:type="dxa"/>
            <w:tcBorders>
              <w:top w:val="nil"/>
              <w:left w:val="nil"/>
              <w:bottom w:val="nil"/>
              <w:right w:val="nil"/>
            </w:tcBorders>
            <w:shd w:val="clear" w:color="auto" w:fill="auto"/>
            <w:noWrap/>
            <w:vAlign w:val="bottom"/>
            <w:hideMark/>
          </w:tcPr>
          <w:p w14:paraId="4079BBC3" w14:textId="77777777" w:rsidR="000E6FD8" w:rsidRPr="00DD162A" w:rsidRDefault="000E6FD8" w:rsidP="000E6FD8">
            <w:pPr>
              <w:rPr>
                <w:rFonts w:ascii="Arial" w:eastAsia="Times New Roman" w:hAnsi="Arial" w:cs="Arial"/>
                <w:color w:val="000000"/>
                <w:sz w:val="20"/>
                <w:szCs w:val="20"/>
                <w:lang w:eastAsia="en-GB"/>
              </w:rPr>
            </w:pPr>
          </w:p>
        </w:tc>
        <w:tc>
          <w:tcPr>
            <w:tcW w:w="1418" w:type="dxa"/>
            <w:tcBorders>
              <w:top w:val="nil"/>
              <w:left w:val="nil"/>
              <w:bottom w:val="nil"/>
              <w:right w:val="nil"/>
            </w:tcBorders>
            <w:shd w:val="clear" w:color="auto" w:fill="auto"/>
            <w:vAlign w:val="bottom"/>
          </w:tcPr>
          <w:p w14:paraId="192510D1" w14:textId="77777777" w:rsidR="000E6FD8" w:rsidRPr="005C44E8" w:rsidRDefault="000E6FD8" w:rsidP="000E6FD8">
            <w:pPr>
              <w:jc w:val="right"/>
              <w:rPr>
                <w:rFonts w:ascii="Arial" w:eastAsia="Times New Roman" w:hAnsi="Arial" w:cs="Arial"/>
                <w:bCs/>
                <w:color w:val="000000"/>
                <w:sz w:val="20"/>
                <w:szCs w:val="20"/>
                <w:lang w:eastAsia="en-GB"/>
              </w:rPr>
            </w:pPr>
          </w:p>
        </w:tc>
        <w:tc>
          <w:tcPr>
            <w:tcW w:w="1417" w:type="dxa"/>
            <w:tcBorders>
              <w:top w:val="nil"/>
              <w:left w:val="nil"/>
              <w:bottom w:val="nil"/>
              <w:right w:val="nil"/>
            </w:tcBorders>
            <w:vAlign w:val="bottom"/>
          </w:tcPr>
          <w:p w14:paraId="3E02E7C2" w14:textId="77777777" w:rsidR="000E6FD8" w:rsidRPr="00DD162A" w:rsidRDefault="000E6FD8" w:rsidP="000E6FD8">
            <w:pPr>
              <w:jc w:val="right"/>
              <w:rPr>
                <w:rFonts w:ascii="Arial" w:eastAsia="Times New Roman" w:hAnsi="Arial" w:cs="Arial"/>
                <w:b/>
                <w:bCs/>
                <w:color w:val="000000"/>
                <w:sz w:val="20"/>
                <w:szCs w:val="20"/>
                <w:lang w:eastAsia="en-GB"/>
              </w:rPr>
            </w:pPr>
          </w:p>
        </w:tc>
        <w:tc>
          <w:tcPr>
            <w:tcW w:w="1559" w:type="dxa"/>
            <w:tcBorders>
              <w:top w:val="nil"/>
              <w:left w:val="nil"/>
              <w:bottom w:val="nil"/>
              <w:right w:val="nil"/>
            </w:tcBorders>
            <w:shd w:val="clear" w:color="auto" w:fill="auto"/>
            <w:vAlign w:val="bottom"/>
          </w:tcPr>
          <w:p w14:paraId="1081E268" w14:textId="77777777" w:rsidR="000E6FD8" w:rsidRPr="00DD162A" w:rsidRDefault="000E6FD8" w:rsidP="000E6FD8">
            <w:pPr>
              <w:jc w:val="right"/>
              <w:rPr>
                <w:rFonts w:ascii="Arial" w:eastAsia="Times New Roman" w:hAnsi="Arial" w:cs="Arial"/>
                <w:sz w:val="20"/>
                <w:szCs w:val="20"/>
                <w:lang w:eastAsia="en-GB"/>
              </w:rPr>
            </w:pPr>
          </w:p>
        </w:tc>
      </w:tr>
      <w:tr w:rsidR="00E35B30" w:rsidRPr="00DD162A" w14:paraId="5886F604" w14:textId="77777777" w:rsidTr="001E5C67">
        <w:trPr>
          <w:trHeight w:val="294"/>
        </w:trPr>
        <w:tc>
          <w:tcPr>
            <w:tcW w:w="4570" w:type="dxa"/>
            <w:tcBorders>
              <w:top w:val="nil"/>
              <w:left w:val="nil"/>
              <w:bottom w:val="nil"/>
              <w:right w:val="nil"/>
            </w:tcBorders>
            <w:shd w:val="clear" w:color="auto" w:fill="auto"/>
            <w:noWrap/>
            <w:vAlign w:val="bottom"/>
            <w:hideMark/>
          </w:tcPr>
          <w:p w14:paraId="22E1A04B" w14:textId="77777777" w:rsidR="00E35B30" w:rsidRPr="00DD162A" w:rsidRDefault="00E35B30" w:rsidP="00E35B30">
            <w:pPr>
              <w:rPr>
                <w:rFonts w:ascii="Arial" w:eastAsia="Times New Roman" w:hAnsi="Arial" w:cs="Arial"/>
                <w:color w:val="000000"/>
                <w:sz w:val="20"/>
                <w:szCs w:val="20"/>
                <w:lang w:eastAsia="en-GB"/>
              </w:rPr>
            </w:pPr>
            <w:r w:rsidRPr="00DD162A">
              <w:rPr>
                <w:rFonts w:ascii="Arial" w:eastAsia="Times New Roman" w:hAnsi="Arial" w:cs="Arial"/>
                <w:color w:val="000000"/>
                <w:sz w:val="20"/>
                <w:szCs w:val="20"/>
                <w:lang w:eastAsia="en-GB"/>
              </w:rPr>
              <w:t>Basic earnings per share (pence)</w:t>
            </w:r>
          </w:p>
        </w:tc>
        <w:tc>
          <w:tcPr>
            <w:tcW w:w="1418" w:type="dxa"/>
            <w:tcBorders>
              <w:top w:val="nil"/>
              <w:left w:val="nil"/>
              <w:bottom w:val="single" w:sz="8" w:space="0" w:color="auto"/>
              <w:right w:val="nil"/>
            </w:tcBorders>
            <w:shd w:val="clear" w:color="auto" w:fill="auto"/>
            <w:vAlign w:val="bottom"/>
          </w:tcPr>
          <w:p w14:paraId="44CF1631" w14:textId="35A0C542" w:rsidR="00E35B30" w:rsidRPr="005C44E8" w:rsidRDefault="0059457C" w:rsidP="00E35B30">
            <w:pPr>
              <w:jc w:val="right"/>
              <w:rPr>
                <w:rFonts w:ascii="Arial" w:eastAsia="Times New Roman" w:hAnsi="Arial" w:cs="Arial"/>
                <w:bCs/>
                <w:color w:val="000000"/>
                <w:sz w:val="20"/>
                <w:szCs w:val="20"/>
                <w:lang w:eastAsia="en-GB"/>
              </w:rPr>
            </w:pPr>
            <w:r w:rsidRPr="005C44E8">
              <w:rPr>
                <w:rFonts w:ascii="Arial" w:eastAsia="Times New Roman" w:hAnsi="Arial" w:cs="Arial"/>
                <w:bCs/>
                <w:color w:val="000000"/>
                <w:sz w:val="20"/>
                <w:szCs w:val="20"/>
                <w:lang w:eastAsia="en-GB"/>
              </w:rPr>
              <w:t>24.39</w:t>
            </w:r>
          </w:p>
        </w:tc>
        <w:tc>
          <w:tcPr>
            <w:tcW w:w="1417" w:type="dxa"/>
            <w:tcBorders>
              <w:top w:val="nil"/>
              <w:left w:val="nil"/>
              <w:bottom w:val="single" w:sz="8" w:space="0" w:color="auto"/>
              <w:right w:val="nil"/>
            </w:tcBorders>
            <w:vAlign w:val="bottom"/>
          </w:tcPr>
          <w:p w14:paraId="57933170" w14:textId="183DF9BE" w:rsidR="00E35B30" w:rsidRPr="00CF0413" w:rsidRDefault="00E35B30" w:rsidP="00E35B30">
            <w:pPr>
              <w:jc w:val="right"/>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22.91</w:t>
            </w:r>
          </w:p>
        </w:tc>
        <w:tc>
          <w:tcPr>
            <w:tcW w:w="1559" w:type="dxa"/>
            <w:tcBorders>
              <w:top w:val="nil"/>
              <w:left w:val="nil"/>
              <w:bottom w:val="single" w:sz="8" w:space="0" w:color="auto"/>
              <w:right w:val="nil"/>
            </w:tcBorders>
            <w:shd w:val="clear" w:color="auto" w:fill="auto"/>
            <w:vAlign w:val="center"/>
          </w:tcPr>
          <w:p w14:paraId="44DC7525" w14:textId="4CF40814" w:rsidR="00E35B30" w:rsidRPr="00DD162A" w:rsidRDefault="00E35B30" w:rsidP="00E35B30">
            <w:pPr>
              <w:jc w:val="right"/>
              <w:rPr>
                <w:rFonts w:ascii="Arial" w:eastAsia="Times New Roman" w:hAnsi="Arial" w:cs="Arial"/>
                <w:color w:val="000000"/>
                <w:sz w:val="20"/>
                <w:szCs w:val="20"/>
                <w:lang w:eastAsia="en-GB"/>
              </w:rPr>
            </w:pPr>
            <w:r w:rsidRPr="00B42A71">
              <w:rPr>
                <w:rFonts w:ascii="Arial" w:eastAsia="Times New Roman" w:hAnsi="Arial" w:cs="Arial"/>
                <w:color w:val="000000" w:themeColor="text1"/>
                <w:sz w:val="20"/>
                <w:szCs w:val="20"/>
                <w:lang w:eastAsia="en-GB"/>
              </w:rPr>
              <w:t>53.38</w:t>
            </w:r>
          </w:p>
        </w:tc>
      </w:tr>
      <w:tr w:rsidR="00E35B30" w:rsidRPr="00DD162A" w14:paraId="142EE804" w14:textId="77777777" w:rsidTr="000F7919">
        <w:trPr>
          <w:trHeight w:val="288"/>
        </w:trPr>
        <w:tc>
          <w:tcPr>
            <w:tcW w:w="4570" w:type="dxa"/>
            <w:tcBorders>
              <w:top w:val="nil"/>
              <w:left w:val="nil"/>
              <w:bottom w:val="nil"/>
              <w:right w:val="nil"/>
            </w:tcBorders>
            <w:shd w:val="clear" w:color="auto" w:fill="auto"/>
            <w:noWrap/>
            <w:vAlign w:val="bottom"/>
            <w:hideMark/>
          </w:tcPr>
          <w:p w14:paraId="4C98CEAB" w14:textId="77777777" w:rsidR="00E35B30" w:rsidRPr="00DD162A" w:rsidRDefault="00E35B30" w:rsidP="00E35B30">
            <w:pPr>
              <w:rPr>
                <w:rFonts w:ascii="Arial" w:eastAsia="Times New Roman" w:hAnsi="Arial" w:cs="Arial"/>
                <w:color w:val="000000"/>
                <w:sz w:val="20"/>
                <w:szCs w:val="20"/>
                <w:lang w:eastAsia="en-GB"/>
              </w:rPr>
            </w:pPr>
          </w:p>
        </w:tc>
        <w:tc>
          <w:tcPr>
            <w:tcW w:w="1418" w:type="dxa"/>
            <w:tcBorders>
              <w:top w:val="nil"/>
              <w:left w:val="nil"/>
              <w:bottom w:val="nil"/>
              <w:right w:val="nil"/>
            </w:tcBorders>
            <w:shd w:val="clear" w:color="auto" w:fill="auto"/>
            <w:noWrap/>
            <w:vAlign w:val="bottom"/>
          </w:tcPr>
          <w:p w14:paraId="1D3D6072" w14:textId="77777777" w:rsidR="00E35B30" w:rsidRPr="005C44E8" w:rsidRDefault="00E35B30" w:rsidP="00E35B30">
            <w:pPr>
              <w:jc w:val="right"/>
              <w:rPr>
                <w:rFonts w:ascii="Arial" w:eastAsia="Times New Roman" w:hAnsi="Arial" w:cs="Arial"/>
                <w:bCs/>
                <w:color w:val="000000"/>
                <w:sz w:val="20"/>
                <w:szCs w:val="20"/>
                <w:lang w:eastAsia="en-GB"/>
              </w:rPr>
            </w:pPr>
          </w:p>
        </w:tc>
        <w:tc>
          <w:tcPr>
            <w:tcW w:w="1417" w:type="dxa"/>
            <w:tcBorders>
              <w:top w:val="nil"/>
              <w:left w:val="nil"/>
              <w:bottom w:val="nil"/>
              <w:right w:val="nil"/>
            </w:tcBorders>
            <w:vAlign w:val="bottom"/>
          </w:tcPr>
          <w:p w14:paraId="56A9C596" w14:textId="77777777" w:rsidR="00E35B30" w:rsidRPr="00CF0413" w:rsidRDefault="00E35B30" w:rsidP="00E35B30">
            <w:pPr>
              <w:jc w:val="right"/>
              <w:rPr>
                <w:rFonts w:ascii="Arial" w:eastAsia="Times New Roman" w:hAnsi="Arial" w:cs="Arial"/>
                <w:bCs/>
                <w:color w:val="000000"/>
                <w:sz w:val="20"/>
                <w:szCs w:val="20"/>
                <w:lang w:eastAsia="en-GB"/>
              </w:rPr>
            </w:pPr>
          </w:p>
        </w:tc>
        <w:tc>
          <w:tcPr>
            <w:tcW w:w="1559" w:type="dxa"/>
            <w:tcBorders>
              <w:top w:val="nil"/>
              <w:left w:val="nil"/>
              <w:bottom w:val="nil"/>
              <w:right w:val="nil"/>
            </w:tcBorders>
            <w:shd w:val="clear" w:color="auto" w:fill="auto"/>
            <w:noWrap/>
            <w:vAlign w:val="bottom"/>
          </w:tcPr>
          <w:p w14:paraId="4A0DF2F8" w14:textId="77777777" w:rsidR="00E35B30" w:rsidRPr="00DD162A" w:rsidRDefault="00E35B30" w:rsidP="00E35B30">
            <w:pPr>
              <w:jc w:val="right"/>
              <w:rPr>
                <w:rFonts w:ascii="Arial" w:eastAsia="Times New Roman" w:hAnsi="Arial" w:cs="Arial"/>
                <w:sz w:val="20"/>
                <w:szCs w:val="20"/>
                <w:lang w:eastAsia="en-GB"/>
              </w:rPr>
            </w:pPr>
          </w:p>
        </w:tc>
      </w:tr>
      <w:tr w:rsidR="00E35B30" w:rsidRPr="00DD162A" w14:paraId="136FF988" w14:textId="77777777" w:rsidTr="001E5C67">
        <w:trPr>
          <w:trHeight w:val="294"/>
        </w:trPr>
        <w:tc>
          <w:tcPr>
            <w:tcW w:w="4570" w:type="dxa"/>
            <w:tcBorders>
              <w:top w:val="nil"/>
              <w:left w:val="nil"/>
              <w:bottom w:val="nil"/>
              <w:right w:val="nil"/>
            </w:tcBorders>
            <w:shd w:val="clear" w:color="auto" w:fill="auto"/>
            <w:noWrap/>
            <w:vAlign w:val="bottom"/>
            <w:hideMark/>
          </w:tcPr>
          <w:p w14:paraId="6687A5B6" w14:textId="77777777" w:rsidR="00E35B30" w:rsidRPr="00DD162A" w:rsidRDefault="00E35B30" w:rsidP="00E35B30">
            <w:pPr>
              <w:rPr>
                <w:rFonts w:ascii="Arial" w:eastAsia="Times New Roman" w:hAnsi="Arial" w:cs="Arial"/>
                <w:color w:val="000000"/>
                <w:sz w:val="20"/>
                <w:szCs w:val="20"/>
                <w:lang w:eastAsia="en-GB"/>
              </w:rPr>
            </w:pPr>
            <w:r w:rsidRPr="00DD162A">
              <w:rPr>
                <w:rFonts w:ascii="Arial" w:eastAsia="Times New Roman" w:hAnsi="Arial" w:cs="Arial"/>
                <w:color w:val="000000"/>
                <w:sz w:val="20"/>
                <w:szCs w:val="20"/>
                <w:lang w:eastAsia="en-GB"/>
              </w:rPr>
              <w:t>Diluted earnings per share (pence)</w:t>
            </w:r>
          </w:p>
        </w:tc>
        <w:tc>
          <w:tcPr>
            <w:tcW w:w="1418" w:type="dxa"/>
            <w:tcBorders>
              <w:top w:val="nil"/>
              <w:left w:val="nil"/>
              <w:bottom w:val="single" w:sz="8" w:space="0" w:color="auto"/>
              <w:right w:val="nil"/>
            </w:tcBorders>
            <w:shd w:val="clear" w:color="auto" w:fill="auto"/>
            <w:vAlign w:val="bottom"/>
          </w:tcPr>
          <w:p w14:paraId="7CED2329" w14:textId="7804DE08" w:rsidR="00E35B30" w:rsidRPr="005C44E8" w:rsidRDefault="0059457C" w:rsidP="00E35B30">
            <w:pPr>
              <w:jc w:val="right"/>
              <w:rPr>
                <w:rFonts w:ascii="Arial" w:eastAsia="Times New Roman" w:hAnsi="Arial" w:cs="Arial"/>
                <w:bCs/>
                <w:color w:val="000000"/>
                <w:sz w:val="20"/>
                <w:szCs w:val="20"/>
                <w:lang w:eastAsia="en-GB"/>
              </w:rPr>
            </w:pPr>
            <w:r w:rsidRPr="005C44E8">
              <w:rPr>
                <w:rFonts w:ascii="Arial" w:eastAsia="Times New Roman" w:hAnsi="Arial" w:cs="Arial"/>
                <w:bCs/>
                <w:color w:val="000000"/>
                <w:sz w:val="20"/>
                <w:szCs w:val="20"/>
                <w:lang w:eastAsia="en-GB"/>
              </w:rPr>
              <w:t>24.3</w:t>
            </w:r>
            <w:r w:rsidR="005C44E8" w:rsidRPr="005C44E8">
              <w:rPr>
                <w:rFonts w:ascii="Arial" w:eastAsia="Times New Roman" w:hAnsi="Arial" w:cs="Arial"/>
                <w:bCs/>
                <w:color w:val="000000"/>
                <w:sz w:val="20"/>
                <w:szCs w:val="20"/>
                <w:lang w:eastAsia="en-GB"/>
              </w:rPr>
              <w:t>0</w:t>
            </w:r>
          </w:p>
        </w:tc>
        <w:tc>
          <w:tcPr>
            <w:tcW w:w="1417" w:type="dxa"/>
            <w:tcBorders>
              <w:top w:val="nil"/>
              <w:left w:val="nil"/>
              <w:bottom w:val="single" w:sz="8" w:space="0" w:color="auto"/>
              <w:right w:val="nil"/>
            </w:tcBorders>
            <w:vAlign w:val="bottom"/>
          </w:tcPr>
          <w:p w14:paraId="306AD940" w14:textId="1CA2AD31" w:rsidR="00E35B30" w:rsidRPr="00CF0413" w:rsidRDefault="00E35B30" w:rsidP="00E35B30">
            <w:pPr>
              <w:jc w:val="right"/>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22.72</w:t>
            </w:r>
          </w:p>
        </w:tc>
        <w:tc>
          <w:tcPr>
            <w:tcW w:w="1559" w:type="dxa"/>
            <w:tcBorders>
              <w:top w:val="nil"/>
              <w:left w:val="nil"/>
              <w:bottom w:val="single" w:sz="8" w:space="0" w:color="auto"/>
              <w:right w:val="nil"/>
            </w:tcBorders>
            <w:shd w:val="clear" w:color="auto" w:fill="auto"/>
            <w:vAlign w:val="center"/>
          </w:tcPr>
          <w:p w14:paraId="0E1D41BF" w14:textId="48E6C394" w:rsidR="00E35B30" w:rsidRPr="00DD162A" w:rsidRDefault="00E35B30" w:rsidP="00E35B30">
            <w:pPr>
              <w:jc w:val="right"/>
              <w:rPr>
                <w:rFonts w:ascii="Arial" w:eastAsia="Times New Roman" w:hAnsi="Arial" w:cs="Arial"/>
                <w:color w:val="000000"/>
                <w:sz w:val="20"/>
                <w:szCs w:val="20"/>
                <w:lang w:eastAsia="en-GB"/>
              </w:rPr>
            </w:pPr>
            <w:r w:rsidRPr="00B42A71">
              <w:rPr>
                <w:rFonts w:ascii="Arial" w:eastAsia="Times New Roman" w:hAnsi="Arial" w:cs="Arial"/>
                <w:color w:val="000000" w:themeColor="text1"/>
                <w:sz w:val="20"/>
                <w:szCs w:val="20"/>
                <w:lang w:eastAsia="en-GB"/>
              </w:rPr>
              <w:t>53.19</w:t>
            </w:r>
          </w:p>
        </w:tc>
      </w:tr>
    </w:tbl>
    <w:p w14:paraId="49C49246" w14:textId="77777777" w:rsidR="000F7919" w:rsidRPr="00DD162A" w:rsidRDefault="000F7919" w:rsidP="000F7919">
      <w:pPr>
        <w:ind w:left="142"/>
        <w:rPr>
          <w:rFonts w:ascii="Arial" w:hAnsi="Arial" w:cs="Arial"/>
          <w:sz w:val="20"/>
          <w:szCs w:val="20"/>
        </w:rPr>
      </w:pPr>
    </w:p>
    <w:tbl>
      <w:tblPr>
        <w:tblW w:w="10206" w:type="dxa"/>
        <w:tblLook w:val="04A0" w:firstRow="1" w:lastRow="0" w:firstColumn="1" w:lastColumn="0" w:noHBand="0" w:noVBand="1"/>
      </w:tblPr>
      <w:tblGrid>
        <w:gridCol w:w="10206"/>
      </w:tblGrid>
      <w:tr w:rsidR="000F7919" w:rsidRPr="0031229D" w14:paraId="635CFD12" w14:textId="77777777" w:rsidTr="000F7919">
        <w:trPr>
          <w:trHeight w:val="288"/>
        </w:trPr>
        <w:tc>
          <w:tcPr>
            <w:tcW w:w="1520" w:type="dxa"/>
            <w:tcBorders>
              <w:top w:val="nil"/>
              <w:left w:val="nil"/>
              <w:bottom w:val="nil"/>
              <w:right w:val="nil"/>
            </w:tcBorders>
            <w:vAlign w:val="center"/>
          </w:tcPr>
          <w:p w14:paraId="152C664B" w14:textId="77777777" w:rsidR="000F7919" w:rsidRPr="0031229D" w:rsidRDefault="000F7919" w:rsidP="000F7919">
            <w:pPr>
              <w:jc w:val="right"/>
              <w:rPr>
                <w:rFonts w:ascii="Arial" w:eastAsia="Times New Roman" w:hAnsi="Arial" w:cs="Arial"/>
                <w:color w:val="000000"/>
                <w:sz w:val="20"/>
                <w:szCs w:val="20"/>
                <w:lang w:eastAsia="en-GB"/>
              </w:rPr>
            </w:pPr>
          </w:p>
        </w:tc>
      </w:tr>
      <w:tr w:rsidR="000F7919" w:rsidRPr="0031229D" w14:paraId="30E10789" w14:textId="77777777" w:rsidTr="000F7919">
        <w:trPr>
          <w:trHeight w:val="288"/>
        </w:trPr>
        <w:tc>
          <w:tcPr>
            <w:tcW w:w="1520" w:type="dxa"/>
            <w:tcBorders>
              <w:top w:val="nil"/>
              <w:left w:val="nil"/>
              <w:bottom w:val="nil"/>
              <w:right w:val="nil"/>
            </w:tcBorders>
            <w:vAlign w:val="center"/>
          </w:tcPr>
          <w:p w14:paraId="016593BA" w14:textId="77777777" w:rsidR="000F7919" w:rsidRPr="0031229D" w:rsidRDefault="000F7919" w:rsidP="000F7919">
            <w:pPr>
              <w:jc w:val="right"/>
              <w:rPr>
                <w:rFonts w:ascii="Arial" w:eastAsia="Times New Roman" w:hAnsi="Arial" w:cs="Arial"/>
                <w:color w:val="000000"/>
                <w:sz w:val="20"/>
                <w:szCs w:val="20"/>
                <w:lang w:eastAsia="en-GB"/>
              </w:rPr>
            </w:pPr>
          </w:p>
        </w:tc>
      </w:tr>
    </w:tbl>
    <w:p w14:paraId="43EAD8C1" w14:textId="77777777" w:rsidR="000F7919" w:rsidRPr="00DD162A" w:rsidRDefault="000F7919" w:rsidP="000F7919">
      <w:pPr>
        <w:ind w:left="142"/>
        <w:rPr>
          <w:rFonts w:ascii="Arial" w:hAnsi="Arial" w:cs="Arial"/>
          <w:sz w:val="20"/>
          <w:szCs w:val="20"/>
        </w:rPr>
      </w:pPr>
    </w:p>
    <w:p w14:paraId="238A3C1E" w14:textId="77777777" w:rsidR="000F7919" w:rsidRPr="00F639DA" w:rsidRDefault="000F7919" w:rsidP="000F7919">
      <w:pPr>
        <w:rPr>
          <w:rFonts w:ascii="Arial" w:eastAsia="Calibri" w:hAnsi="Arial" w:cs="Arial"/>
          <w:color w:val="FF0000"/>
          <w:sz w:val="22"/>
          <w:szCs w:val="22"/>
          <w:bdr w:val="none" w:sz="0" w:space="0" w:color="auto"/>
          <w:lang w:val="en-GB"/>
        </w:rPr>
      </w:pPr>
    </w:p>
    <w:p w14:paraId="51363E11" w14:textId="77777777" w:rsidR="00C91F7D" w:rsidRPr="00F639DA" w:rsidRDefault="00C91F7D" w:rsidP="000F7919">
      <w:pPr>
        <w:spacing w:after="160" w:line="259" w:lineRule="auto"/>
        <w:rPr>
          <w:rFonts w:ascii="Arial" w:eastAsia="Calibri" w:hAnsi="Arial" w:cs="Arial"/>
          <w:color w:val="FF0000"/>
          <w:sz w:val="22"/>
          <w:szCs w:val="22"/>
          <w:bdr w:val="none" w:sz="0" w:space="0" w:color="auto"/>
          <w:lang w:val="en-GB"/>
        </w:rPr>
      </w:pPr>
    </w:p>
    <w:sectPr w:rsidR="00C91F7D" w:rsidRPr="00F639DA" w:rsidSect="00937E66">
      <w:footerReference w:type="even" r:id="rId10"/>
      <w:footerReference w:type="default" r:id="rId11"/>
      <w:type w:val="continuous"/>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50598" w14:textId="77777777" w:rsidR="00A413E6" w:rsidRDefault="00A413E6">
      <w:r>
        <w:separator/>
      </w:r>
    </w:p>
  </w:endnote>
  <w:endnote w:type="continuationSeparator" w:id="0">
    <w:p w14:paraId="1A084B5D" w14:textId="77777777" w:rsidR="00A413E6" w:rsidRDefault="00A41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B3521" w14:textId="77777777" w:rsidR="00A413E6" w:rsidRPr="006A4B03" w:rsidRDefault="00A413E6" w:rsidP="00C5483A">
    <w:pPr>
      <w:pStyle w:val="Footer"/>
    </w:pPr>
    <w:r w:rsidRPr="0028462D">
      <w:rPr>
        <w:rFonts w:ascii="Arial" w:hAnsi="Arial" w:cs="Arial"/>
        <w:sz w:val="20"/>
        <w:szCs w:val="20"/>
        <w:vertAlign w:val="superscript"/>
      </w:rPr>
      <w:footnoteRef/>
    </w:r>
    <w:r w:rsidRPr="002D64D4">
      <w:t xml:space="preserve"> </w:t>
    </w:r>
    <w:r w:rsidRPr="00B82B88">
      <w:rPr>
        <w:rFonts w:ascii="Arial" w:hAnsi="Arial" w:cs="Arial"/>
        <w:sz w:val="20"/>
      </w:rPr>
      <w:t>Underlying operating expenses are defined as administrative expenses less depreciation, amortisation and share based payment charges</w:t>
    </w:r>
  </w:p>
  <w:p w14:paraId="6E220E19" w14:textId="77777777" w:rsidR="00A413E6" w:rsidRDefault="00A413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497AD" w14:textId="77777777" w:rsidR="00A413E6" w:rsidRDefault="00A413E6">
    <w:pPr>
      <w:pStyle w:val="HeaderFooter"/>
      <w:rPr>
        <w:rFonts w:hint="eastAsia"/>
      </w:rPr>
    </w:pPr>
    <w:r>
      <w:rPr>
        <w:noProof/>
      </w:rPr>
      <mc:AlternateContent>
        <mc:Choice Requires="wps">
          <w:drawing>
            <wp:anchor distT="0" distB="0" distL="114300" distR="114300" simplePos="0" relativeHeight="251661312" behindDoc="0" locked="0" layoutInCell="0" allowOverlap="1" wp14:anchorId="186B9FBE" wp14:editId="73DBF1F8">
              <wp:simplePos x="0" y="0"/>
              <wp:positionH relativeFrom="page">
                <wp:posOffset>0</wp:posOffset>
              </wp:positionH>
              <wp:positionV relativeFrom="page">
                <wp:posOffset>10229215</wp:posOffset>
              </wp:positionV>
              <wp:extent cx="7556500" cy="161290"/>
              <wp:effectExtent l="0" t="0" r="6350" b="10160"/>
              <wp:wrapNone/>
              <wp:docPr id="2" name="MSIPCM556447a9b21ca5d0094480a0" descr="{&quot;HashCode&quot;:14190663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161290"/>
                      </a:xfrm>
                      <a:prstGeom prst="rect">
                        <a:avLst/>
                      </a:prstGeom>
                      <a:noFill/>
                      <a:ln w="6350">
                        <a:noFill/>
                      </a:ln>
                      <a:effectLst/>
                      <a:sp3d/>
                      <a:extLst>
                        <a:ext uri="{91240B29-F687-4F45-9708-019B960494DF}">
                          <a14:hiddenLine xmlns:a14="http://schemas.microsoft.com/office/drawing/2010/main" w="6350">
                            <a:solidFill>
                              <a:prstClr val="black"/>
                            </a:solidFill>
                          </a14:hiddenLine>
                        </a:ext>
                      </a:extLst>
                    </wps:spPr>
                    <wps:style>
                      <a:lnRef idx="0">
                        <a:scrgbClr r="0" g="0" b="0"/>
                      </a:lnRef>
                      <a:fillRef idx="0">
                        <a:scrgbClr r="0" g="0" b="0"/>
                      </a:fillRef>
                      <a:effectRef idx="0">
                        <a:scrgbClr r="0" g="0" b="0"/>
                      </a:effectRef>
                      <a:fontRef idx="none"/>
                    </wps:style>
                    <wps:txbx>
                      <w:txbxContent>
                        <w:p w14:paraId="5C839990" w14:textId="77777777" w:rsidR="00A413E6" w:rsidRPr="005C67F4" w:rsidRDefault="00A413E6" w:rsidP="005C67F4">
                          <w:pPr>
                            <w:rPr>
                              <w:rFonts w:ascii="Calibri" w:hAnsi="Calibri"/>
                              <w:color w:val="FFFFFF"/>
                              <w:sz w:val="20"/>
                            </w:rPr>
                          </w:pPr>
                          <w:r w:rsidRPr="005C67F4">
                            <w:rPr>
                              <w:rFonts w:ascii="Calibri" w:hAnsi="Calibri"/>
                              <w:color w:val="FFFFFF"/>
                              <w:sz w:val="20"/>
                            </w:rPr>
                            <w:t>-</w:t>
                          </w:r>
                        </w:p>
                      </w:txbxContent>
                    </wps:txbx>
                    <wps:bodyPr rot="0" spcFirstLastPara="1" vertOverflow="overflow" horzOverflow="overflow" vert="horz" wrap="square" lIns="254000" tIns="0" rIns="45718" bIns="0" numCol="1" spcCol="38100" rtlCol="0" fromWordArt="0" anchor="b" anchorCtr="0" forceAA="0" compatLnSpc="1">
                      <a:prstTxWarp prst="textNoShape">
                        <a:avLst/>
                      </a:prstTxWarp>
                      <a:spAutoFit/>
                    </wps:bodyPr>
                  </wps:wsp>
                </a:graphicData>
              </a:graphic>
            </wp:anchor>
          </w:drawing>
        </mc:Choice>
        <mc:Fallback>
          <w:pict>
            <v:shapetype w14:anchorId="186B9FBE" id="_x0000_t202" coordsize="21600,21600" o:spt="202" path="m,l,21600r21600,l21600,xe">
              <v:stroke joinstyle="miter"/>
              <v:path gradientshapeok="t" o:connecttype="rect"/>
            </v:shapetype>
            <v:shape id="MSIPCM556447a9b21ca5d0094480a0" o:spid="_x0000_s1026" type="#_x0000_t202" alt="{&quot;HashCode&quot;:1419066366,&quot;Height&quot;:842.0,&quot;Width&quot;:595.0,&quot;Placement&quot;:&quot;Footer&quot;,&quot;Index&quot;:&quot;Primary&quot;,&quot;Section&quot;:1,&quot;Top&quot;:0.0,&quot;Left&quot;:0.0}" style="position:absolute;margin-left:0;margin-top:805.45pt;width:595pt;height:12.7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" o:allowincell="f" filled="f" stroked="f" strokeweight=".5pt">
              <v:textbox style="mso-fit-shape-to-text:t" inset="20pt,0,1.2699mm,0">
                <w:txbxContent>
                  <w:p w14:paraId="5C839990" w14:textId="77777777" w:rsidR="00A413E6" w:rsidRPr="005C67F4" w:rsidRDefault="00A413E6" w:rsidP="005C67F4">
                    <w:pPr>
                      <w:rPr>
                        <w:rFonts w:ascii="Calibri" w:hAnsi="Calibri"/>
                        <w:color w:val="FFFFFF"/>
                        <w:sz w:val="20"/>
                      </w:rPr>
                    </w:pPr>
                    <w:r w:rsidRPr="005C67F4">
                      <w:rPr>
                        <w:rFonts w:ascii="Calibri" w:hAnsi="Calibri"/>
                        <w:color w:val="FFFFFF"/>
                        <w:sz w:val="20"/>
                      </w:rPr>
                      <w: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86AD8" w14:textId="77777777" w:rsidR="00A413E6" w:rsidRDefault="00A413E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7891A" w14:textId="77777777" w:rsidR="00A413E6" w:rsidRDefault="00A413E6">
    <w:pPr>
      <w:pStyle w:val="HeaderFooter"/>
      <w:rPr>
        <w:rFonts w:hint="eastAsia"/>
      </w:rPr>
    </w:pPr>
    <w:r>
      <w:rPr>
        <w:noProof/>
      </w:rPr>
      <mc:AlternateContent>
        <mc:Choice Requires="wps">
          <w:drawing>
            <wp:anchor distT="0" distB="0" distL="114300" distR="114300" simplePos="0" relativeHeight="251663360" behindDoc="0" locked="0" layoutInCell="0" allowOverlap="1" wp14:anchorId="1D736BEF" wp14:editId="70008038">
              <wp:simplePos x="0" y="0"/>
              <wp:positionH relativeFrom="page">
                <wp:posOffset>0</wp:posOffset>
              </wp:positionH>
              <wp:positionV relativeFrom="page">
                <wp:posOffset>10229215</wp:posOffset>
              </wp:positionV>
              <wp:extent cx="7556500" cy="161290"/>
              <wp:effectExtent l="0" t="0" r="6350" b="10160"/>
              <wp:wrapNone/>
              <wp:docPr id="3" name="MSIPCM556447a9b21ca5d0094480a0" descr="{&quot;HashCode&quot;:14190663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161290"/>
                      </a:xfrm>
                      <a:prstGeom prst="rect">
                        <a:avLst/>
                      </a:prstGeom>
                      <a:noFill/>
                      <a:ln w="6350">
                        <a:noFill/>
                      </a:ln>
                      <a:effectLst/>
                      <a:sp3d/>
                      <a:extLst>
                        <a:ext uri="{91240B29-F687-4F45-9708-019B960494DF}">
                          <a14:hiddenLine xmlns:a14="http://schemas.microsoft.com/office/drawing/2010/main" w="6350">
                            <a:solidFill>
                              <a:prstClr val="black"/>
                            </a:solidFill>
                          </a14:hiddenLine>
                        </a:ext>
                      </a:extLst>
                    </wps:spPr>
                    <wps:style>
                      <a:lnRef idx="0">
                        <a:scrgbClr r="0" g="0" b="0"/>
                      </a:lnRef>
                      <a:fillRef idx="0">
                        <a:scrgbClr r="0" g="0" b="0"/>
                      </a:fillRef>
                      <a:effectRef idx="0">
                        <a:scrgbClr r="0" g="0" b="0"/>
                      </a:effectRef>
                      <a:fontRef idx="none"/>
                    </wps:style>
                    <wps:txbx>
                      <w:txbxContent>
                        <w:p w14:paraId="5346DC83" w14:textId="77777777" w:rsidR="00A413E6" w:rsidRPr="005C67F4" w:rsidRDefault="00A413E6" w:rsidP="005C67F4">
                          <w:pPr>
                            <w:rPr>
                              <w:rFonts w:ascii="Calibri" w:hAnsi="Calibri"/>
                              <w:color w:val="FFFFFF"/>
                              <w:sz w:val="20"/>
                            </w:rPr>
                          </w:pPr>
                          <w:r w:rsidRPr="005C67F4">
                            <w:rPr>
                              <w:rFonts w:ascii="Calibri" w:hAnsi="Calibri"/>
                              <w:color w:val="FFFFFF"/>
                              <w:sz w:val="20"/>
                            </w:rPr>
                            <w:t>-</w:t>
                          </w:r>
                        </w:p>
                      </w:txbxContent>
                    </wps:txbx>
                    <wps:bodyPr rot="0" spcFirstLastPara="1" vertOverflow="overflow" horzOverflow="overflow" vert="horz" wrap="square" lIns="254000" tIns="0" rIns="45718" bIns="0" numCol="1" spcCol="38100" rtlCol="0" fromWordArt="0" anchor="b" anchorCtr="0" forceAA="0" compatLnSpc="1">
                      <a:prstTxWarp prst="textNoShape">
                        <a:avLst/>
                      </a:prstTxWarp>
                      <a:spAutoFit/>
                    </wps:bodyPr>
                  </wps:wsp>
                </a:graphicData>
              </a:graphic>
            </wp:anchor>
          </w:drawing>
        </mc:Choice>
        <mc:Fallback>
          <w:pict>
            <v:shapetype w14:anchorId="1D736BEF" id="_x0000_t202" coordsize="21600,21600" o:spt="202" path="m,l,21600r21600,l21600,xe">
              <v:stroke joinstyle="miter"/>
              <v:path gradientshapeok="t" o:connecttype="rect"/>
            </v:shapetype>
            <v:shape id="_x0000_s1027" type="#_x0000_t202" alt="{&quot;HashCode&quot;:1419066366,&quot;Height&quot;:842.0,&quot;Width&quot;:595.0,&quot;Placement&quot;:&quot;Footer&quot;,&quot;Index&quot;:&quot;Primary&quot;,&quot;Section&quot;:1,&quot;Top&quot;:0.0,&quot;Left&quot;:0.0}" style="position:absolute;margin-left:0;margin-top:805.45pt;width:595pt;height:12.7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" o:allowincell="f" filled="f" stroked="f" strokeweight=".5pt">
              <v:textbox style="mso-fit-shape-to-text:t" inset="20pt,0,1.2699mm,0">
                <w:txbxContent>
                  <w:p w14:paraId="5346DC83" w14:textId="77777777" w:rsidR="00A413E6" w:rsidRPr="005C67F4" w:rsidRDefault="00A413E6" w:rsidP="005C67F4">
                    <w:pPr>
                      <w:rPr>
                        <w:rFonts w:ascii="Calibri" w:hAnsi="Calibri"/>
                        <w:color w:val="FFFFFF"/>
                        <w:sz w:val="20"/>
                      </w:rPr>
                    </w:pPr>
                    <w:r w:rsidRPr="005C67F4">
                      <w:rPr>
                        <w:rFonts w:ascii="Calibri" w:hAnsi="Calibri"/>
                        <w:color w:val="FFFFFF"/>
                        <w:sz w:val="2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13F05" w14:textId="77777777" w:rsidR="00A413E6" w:rsidRDefault="00A413E6">
      <w:r>
        <w:separator/>
      </w:r>
    </w:p>
  </w:footnote>
  <w:footnote w:type="continuationSeparator" w:id="0">
    <w:p w14:paraId="10CC3849" w14:textId="77777777" w:rsidR="00A413E6" w:rsidRDefault="00A413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4FDF"/>
    <w:multiLevelType w:val="hybridMultilevel"/>
    <w:tmpl w:val="BA668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F302E"/>
    <w:multiLevelType w:val="hybridMultilevel"/>
    <w:tmpl w:val="477E03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053F0C"/>
    <w:multiLevelType w:val="hybridMultilevel"/>
    <w:tmpl w:val="9B2EA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923249"/>
    <w:multiLevelType w:val="hybridMultilevel"/>
    <w:tmpl w:val="9176CA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33F5E0D"/>
    <w:multiLevelType w:val="hybridMultilevel"/>
    <w:tmpl w:val="AA3A07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2FB31CB7"/>
    <w:multiLevelType w:val="hybridMultilevel"/>
    <w:tmpl w:val="9C366C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2296B56"/>
    <w:multiLevelType w:val="hybridMultilevel"/>
    <w:tmpl w:val="F67A839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48D0C7B"/>
    <w:multiLevelType w:val="hybridMultilevel"/>
    <w:tmpl w:val="3C585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532299"/>
    <w:multiLevelType w:val="hybridMultilevel"/>
    <w:tmpl w:val="D912473E"/>
    <w:lvl w:ilvl="0" w:tplc="49E2BFC8">
      <w:numFmt w:val="bullet"/>
      <w:lvlText w:val=""/>
      <w:lvlJc w:val="left"/>
      <w:pPr>
        <w:ind w:left="720" w:hanging="360"/>
      </w:pPr>
      <w:rPr>
        <w:rFonts w:ascii="Symbol" w:eastAsia="Arial Unicode MS"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F81D0C"/>
    <w:multiLevelType w:val="hybridMultilevel"/>
    <w:tmpl w:val="387E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EF4CF9"/>
    <w:multiLevelType w:val="hybridMultilevel"/>
    <w:tmpl w:val="D8BC24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BAC4502"/>
    <w:multiLevelType w:val="hybridMultilevel"/>
    <w:tmpl w:val="4EC089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F344E05"/>
    <w:multiLevelType w:val="hybridMultilevel"/>
    <w:tmpl w:val="9F609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24889816">
    <w:abstractNumId w:val="4"/>
  </w:num>
  <w:num w:numId="2" w16cid:durableId="1388185829">
    <w:abstractNumId w:val="0"/>
  </w:num>
  <w:num w:numId="3" w16cid:durableId="489372005">
    <w:abstractNumId w:val="7"/>
  </w:num>
  <w:num w:numId="4" w16cid:durableId="2033531787">
    <w:abstractNumId w:val="11"/>
  </w:num>
  <w:num w:numId="5" w16cid:durableId="1704548828">
    <w:abstractNumId w:val="1"/>
  </w:num>
  <w:num w:numId="6" w16cid:durableId="2127386270">
    <w:abstractNumId w:val="6"/>
  </w:num>
  <w:num w:numId="7" w16cid:durableId="1741097348">
    <w:abstractNumId w:val="2"/>
  </w:num>
  <w:num w:numId="8" w16cid:durableId="554506424">
    <w:abstractNumId w:val="5"/>
  </w:num>
  <w:num w:numId="9" w16cid:durableId="502283567">
    <w:abstractNumId w:val="3"/>
  </w:num>
  <w:num w:numId="10" w16cid:durableId="982394808">
    <w:abstractNumId w:val="10"/>
  </w:num>
  <w:num w:numId="11" w16cid:durableId="1665089378">
    <w:abstractNumId w:val="12"/>
  </w:num>
  <w:num w:numId="12" w16cid:durableId="292029223">
    <w:abstractNumId w:val="8"/>
  </w:num>
  <w:num w:numId="13" w16cid:durableId="11000285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E74D45"/>
    <w:rsid w:val="0000173D"/>
    <w:rsid w:val="0000281F"/>
    <w:rsid w:val="0000297A"/>
    <w:rsid w:val="00007B97"/>
    <w:rsid w:val="00007D5D"/>
    <w:rsid w:val="000111CB"/>
    <w:rsid w:val="0001494D"/>
    <w:rsid w:val="00017B4D"/>
    <w:rsid w:val="00022296"/>
    <w:rsid w:val="0002257D"/>
    <w:rsid w:val="000225D0"/>
    <w:rsid w:val="00031B4A"/>
    <w:rsid w:val="00031BCE"/>
    <w:rsid w:val="000408E3"/>
    <w:rsid w:val="00045AC0"/>
    <w:rsid w:val="00047C30"/>
    <w:rsid w:val="00050176"/>
    <w:rsid w:val="000557F6"/>
    <w:rsid w:val="00060E3D"/>
    <w:rsid w:val="00064B39"/>
    <w:rsid w:val="00072C87"/>
    <w:rsid w:val="00074535"/>
    <w:rsid w:val="000745A4"/>
    <w:rsid w:val="000764CC"/>
    <w:rsid w:val="0007672E"/>
    <w:rsid w:val="00084C16"/>
    <w:rsid w:val="00087076"/>
    <w:rsid w:val="000A3FF2"/>
    <w:rsid w:val="000A5ED4"/>
    <w:rsid w:val="000A7C4F"/>
    <w:rsid w:val="000B188E"/>
    <w:rsid w:val="000B4604"/>
    <w:rsid w:val="000B66E7"/>
    <w:rsid w:val="000D102A"/>
    <w:rsid w:val="000D2E63"/>
    <w:rsid w:val="000D5542"/>
    <w:rsid w:val="000D710A"/>
    <w:rsid w:val="000E1C2D"/>
    <w:rsid w:val="000E2593"/>
    <w:rsid w:val="000E6FD8"/>
    <w:rsid w:val="000E70EB"/>
    <w:rsid w:val="000F1119"/>
    <w:rsid w:val="000F1DDF"/>
    <w:rsid w:val="000F419D"/>
    <w:rsid w:val="000F5D69"/>
    <w:rsid w:val="000F7919"/>
    <w:rsid w:val="001002AB"/>
    <w:rsid w:val="00101358"/>
    <w:rsid w:val="00101D16"/>
    <w:rsid w:val="0011022A"/>
    <w:rsid w:val="0011148B"/>
    <w:rsid w:val="00114720"/>
    <w:rsid w:val="00125B5B"/>
    <w:rsid w:val="001268CA"/>
    <w:rsid w:val="00127353"/>
    <w:rsid w:val="001334D7"/>
    <w:rsid w:val="00133CB9"/>
    <w:rsid w:val="001371FF"/>
    <w:rsid w:val="00137203"/>
    <w:rsid w:val="001407F5"/>
    <w:rsid w:val="001438A2"/>
    <w:rsid w:val="00144E20"/>
    <w:rsid w:val="00146A90"/>
    <w:rsid w:val="00150D5C"/>
    <w:rsid w:val="00152E51"/>
    <w:rsid w:val="00153597"/>
    <w:rsid w:val="00153A3A"/>
    <w:rsid w:val="0015438F"/>
    <w:rsid w:val="00163615"/>
    <w:rsid w:val="00166FD1"/>
    <w:rsid w:val="001702A8"/>
    <w:rsid w:val="00173B59"/>
    <w:rsid w:val="001857BF"/>
    <w:rsid w:val="00186EA2"/>
    <w:rsid w:val="00195958"/>
    <w:rsid w:val="001A2E58"/>
    <w:rsid w:val="001B5028"/>
    <w:rsid w:val="001B53F3"/>
    <w:rsid w:val="001C3845"/>
    <w:rsid w:val="001C7C4A"/>
    <w:rsid w:val="001D1465"/>
    <w:rsid w:val="001D51E9"/>
    <w:rsid w:val="001E0F1C"/>
    <w:rsid w:val="001E4323"/>
    <w:rsid w:val="001E52E0"/>
    <w:rsid w:val="001E5C67"/>
    <w:rsid w:val="001E664A"/>
    <w:rsid w:val="001E7842"/>
    <w:rsid w:val="001F2739"/>
    <w:rsid w:val="001F276C"/>
    <w:rsid w:val="00203509"/>
    <w:rsid w:val="00203CB0"/>
    <w:rsid w:val="00205A85"/>
    <w:rsid w:val="0021089E"/>
    <w:rsid w:val="00212942"/>
    <w:rsid w:val="002140EC"/>
    <w:rsid w:val="002214DA"/>
    <w:rsid w:val="0022769E"/>
    <w:rsid w:val="0023255F"/>
    <w:rsid w:val="002330B5"/>
    <w:rsid w:val="00233742"/>
    <w:rsid w:val="002405A4"/>
    <w:rsid w:val="00246FA1"/>
    <w:rsid w:val="00255629"/>
    <w:rsid w:val="002606FE"/>
    <w:rsid w:val="00260BE9"/>
    <w:rsid w:val="00262754"/>
    <w:rsid w:val="00270827"/>
    <w:rsid w:val="00271CFA"/>
    <w:rsid w:val="00277173"/>
    <w:rsid w:val="0028462D"/>
    <w:rsid w:val="00284947"/>
    <w:rsid w:val="00296352"/>
    <w:rsid w:val="002A0615"/>
    <w:rsid w:val="002A1A11"/>
    <w:rsid w:val="002A2459"/>
    <w:rsid w:val="002A2716"/>
    <w:rsid w:val="002B0F25"/>
    <w:rsid w:val="002C3B58"/>
    <w:rsid w:val="002C524B"/>
    <w:rsid w:val="002D4CAD"/>
    <w:rsid w:val="002D64D4"/>
    <w:rsid w:val="002E5182"/>
    <w:rsid w:val="002E7488"/>
    <w:rsid w:val="002F0145"/>
    <w:rsid w:val="002F4E5C"/>
    <w:rsid w:val="00300C07"/>
    <w:rsid w:val="00301665"/>
    <w:rsid w:val="0030186B"/>
    <w:rsid w:val="003024FA"/>
    <w:rsid w:val="00304FEA"/>
    <w:rsid w:val="003052A6"/>
    <w:rsid w:val="0031465F"/>
    <w:rsid w:val="003161CF"/>
    <w:rsid w:val="00320770"/>
    <w:rsid w:val="00331435"/>
    <w:rsid w:val="0033226E"/>
    <w:rsid w:val="00341367"/>
    <w:rsid w:val="003454CB"/>
    <w:rsid w:val="00346CEB"/>
    <w:rsid w:val="00347160"/>
    <w:rsid w:val="00385144"/>
    <w:rsid w:val="003852D6"/>
    <w:rsid w:val="00391792"/>
    <w:rsid w:val="00396A3E"/>
    <w:rsid w:val="003A428C"/>
    <w:rsid w:val="003B0215"/>
    <w:rsid w:val="003B03E7"/>
    <w:rsid w:val="003B044D"/>
    <w:rsid w:val="003B0BAB"/>
    <w:rsid w:val="003B1D57"/>
    <w:rsid w:val="003B44A2"/>
    <w:rsid w:val="003C2FE0"/>
    <w:rsid w:val="003C7110"/>
    <w:rsid w:val="003D1C29"/>
    <w:rsid w:val="003D65D8"/>
    <w:rsid w:val="003E0DB5"/>
    <w:rsid w:val="003E0E02"/>
    <w:rsid w:val="003E5863"/>
    <w:rsid w:val="00405628"/>
    <w:rsid w:val="004112FF"/>
    <w:rsid w:val="004207A6"/>
    <w:rsid w:val="00421146"/>
    <w:rsid w:val="00421C1D"/>
    <w:rsid w:val="004237C1"/>
    <w:rsid w:val="00423C49"/>
    <w:rsid w:val="004409B6"/>
    <w:rsid w:val="004421B2"/>
    <w:rsid w:val="00444A59"/>
    <w:rsid w:val="00446AEF"/>
    <w:rsid w:val="00447B48"/>
    <w:rsid w:val="0045064A"/>
    <w:rsid w:val="00451589"/>
    <w:rsid w:val="00456DF8"/>
    <w:rsid w:val="00456EAE"/>
    <w:rsid w:val="0046131E"/>
    <w:rsid w:val="00465836"/>
    <w:rsid w:val="00471F63"/>
    <w:rsid w:val="00480490"/>
    <w:rsid w:val="004821EE"/>
    <w:rsid w:val="00485101"/>
    <w:rsid w:val="00486D94"/>
    <w:rsid w:val="00491F62"/>
    <w:rsid w:val="00492F1A"/>
    <w:rsid w:val="0049500B"/>
    <w:rsid w:val="004A61FD"/>
    <w:rsid w:val="004B1A3A"/>
    <w:rsid w:val="004B6839"/>
    <w:rsid w:val="004C19BA"/>
    <w:rsid w:val="004C61D3"/>
    <w:rsid w:val="004C65C0"/>
    <w:rsid w:val="004C7E70"/>
    <w:rsid w:val="004D0AD4"/>
    <w:rsid w:val="004D6246"/>
    <w:rsid w:val="004E7EA8"/>
    <w:rsid w:val="00505CD8"/>
    <w:rsid w:val="00507825"/>
    <w:rsid w:val="0051004F"/>
    <w:rsid w:val="00512BDD"/>
    <w:rsid w:val="00516467"/>
    <w:rsid w:val="00524910"/>
    <w:rsid w:val="00526A46"/>
    <w:rsid w:val="0053236A"/>
    <w:rsid w:val="0054345C"/>
    <w:rsid w:val="005560DD"/>
    <w:rsid w:val="00566192"/>
    <w:rsid w:val="005763D0"/>
    <w:rsid w:val="00585952"/>
    <w:rsid w:val="00587DF1"/>
    <w:rsid w:val="005919F8"/>
    <w:rsid w:val="00591E25"/>
    <w:rsid w:val="0059457C"/>
    <w:rsid w:val="005955D0"/>
    <w:rsid w:val="005B4E08"/>
    <w:rsid w:val="005C0A10"/>
    <w:rsid w:val="005C44E8"/>
    <w:rsid w:val="005C67F4"/>
    <w:rsid w:val="005D2899"/>
    <w:rsid w:val="005F0F49"/>
    <w:rsid w:val="005F6CCD"/>
    <w:rsid w:val="006045FD"/>
    <w:rsid w:val="006134F1"/>
    <w:rsid w:val="006135FA"/>
    <w:rsid w:val="006138A4"/>
    <w:rsid w:val="0061439A"/>
    <w:rsid w:val="0061735F"/>
    <w:rsid w:val="0062386C"/>
    <w:rsid w:val="006418BD"/>
    <w:rsid w:val="00641C89"/>
    <w:rsid w:val="00644518"/>
    <w:rsid w:val="00654B75"/>
    <w:rsid w:val="00655B2F"/>
    <w:rsid w:val="0067021C"/>
    <w:rsid w:val="00672B62"/>
    <w:rsid w:val="00677A70"/>
    <w:rsid w:val="006813E7"/>
    <w:rsid w:val="00687494"/>
    <w:rsid w:val="006923EC"/>
    <w:rsid w:val="006936CB"/>
    <w:rsid w:val="00694F49"/>
    <w:rsid w:val="006962C2"/>
    <w:rsid w:val="006A3AB6"/>
    <w:rsid w:val="006A4B03"/>
    <w:rsid w:val="006C40B4"/>
    <w:rsid w:val="006C65C3"/>
    <w:rsid w:val="006D4E13"/>
    <w:rsid w:val="006D58CC"/>
    <w:rsid w:val="006D6357"/>
    <w:rsid w:val="006E4D5B"/>
    <w:rsid w:val="006E6A3E"/>
    <w:rsid w:val="006F3763"/>
    <w:rsid w:val="006F5CD0"/>
    <w:rsid w:val="00701821"/>
    <w:rsid w:val="00701AD4"/>
    <w:rsid w:val="00702936"/>
    <w:rsid w:val="007030C6"/>
    <w:rsid w:val="00712325"/>
    <w:rsid w:val="00717FB1"/>
    <w:rsid w:val="007220E0"/>
    <w:rsid w:val="00723AC7"/>
    <w:rsid w:val="007309F7"/>
    <w:rsid w:val="00730C8E"/>
    <w:rsid w:val="00731D7E"/>
    <w:rsid w:val="00740A73"/>
    <w:rsid w:val="00740D81"/>
    <w:rsid w:val="00744E58"/>
    <w:rsid w:val="007507D0"/>
    <w:rsid w:val="00750E57"/>
    <w:rsid w:val="0075131B"/>
    <w:rsid w:val="007547DA"/>
    <w:rsid w:val="00766FC7"/>
    <w:rsid w:val="007800A3"/>
    <w:rsid w:val="007852F3"/>
    <w:rsid w:val="00786631"/>
    <w:rsid w:val="007925F4"/>
    <w:rsid w:val="007A1F75"/>
    <w:rsid w:val="007A2D11"/>
    <w:rsid w:val="007A5059"/>
    <w:rsid w:val="007A6AC8"/>
    <w:rsid w:val="007B6688"/>
    <w:rsid w:val="007C27E2"/>
    <w:rsid w:val="007C565B"/>
    <w:rsid w:val="007C730B"/>
    <w:rsid w:val="007D33C0"/>
    <w:rsid w:val="007D3EA9"/>
    <w:rsid w:val="007D4551"/>
    <w:rsid w:val="007E1449"/>
    <w:rsid w:val="00804CC1"/>
    <w:rsid w:val="00805A34"/>
    <w:rsid w:val="00815EB5"/>
    <w:rsid w:val="00817965"/>
    <w:rsid w:val="008232D4"/>
    <w:rsid w:val="00823E85"/>
    <w:rsid w:val="00826BDE"/>
    <w:rsid w:val="00833E7D"/>
    <w:rsid w:val="00837A71"/>
    <w:rsid w:val="00840099"/>
    <w:rsid w:val="0084244D"/>
    <w:rsid w:val="00852FE6"/>
    <w:rsid w:val="0085725E"/>
    <w:rsid w:val="0087052E"/>
    <w:rsid w:val="0087277D"/>
    <w:rsid w:val="00885629"/>
    <w:rsid w:val="008918E2"/>
    <w:rsid w:val="008A5791"/>
    <w:rsid w:val="008A580E"/>
    <w:rsid w:val="008A6A2C"/>
    <w:rsid w:val="008A7608"/>
    <w:rsid w:val="008C6F5B"/>
    <w:rsid w:val="008C76DF"/>
    <w:rsid w:val="008D150E"/>
    <w:rsid w:val="008D1DF6"/>
    <w:rsid w:val="008E0EAC"/>
    <w:rsid w:val="008E75F6"/>
    <w:rsid w:val="008F2064"/>
    <w:rsid w:val="008F3C54"/>
    <w:rsid w:val="008F527D"/>
    <w:rsid w:val="00905871"/>
    <w:rsid w:val="00905D09"/>
    <w:rsid w:val="00914DD6"/>
    <w:rsid w:val="00917A15"/>
    <w:rsid w:val="00917AFA"/>
    <w:rsid w:val="00922BCE"/>
    <w:rsid w:val="00923912"/>
    <w:rsid w:val="009259EC"/>
    <w:rsid w:val="00931C68"/>
    <w:rsid w:val="00936D07"/>
    <w:rsid w:val="00937E66"/>
    <w:rsid w:val="00945A06"/>
    <w:rsid w:val="00952EE8"/>
    <w:rsid w:val="00961206"/>
    <w:rsid w:val="0096306E"/>
    <w:rsid w:val="009678AE"/>
    <w:rsid w:val="009722C8"/>
    <w:rsid w:val="00973196"/>
    <w:rsid w:val="00975893"/>
    <w:rsid w:val="00982E74"/>
    <w:rsid w:val="00991CB7"/>
    <w:rsid w:val="00993687"/>
    <w:rsid w:val="00995964"/>
    <w:rsid w:val="00995D09"/>
    <w:rsid w:val="009A07D5"/>
    <w:rsid w:val="009A15E6"/>
    <w:rsid w:val="009A3364"/>
    <w:rsid w:val="009A3BF3"/>
    <w:rsid w:val="009A4FD8"/>
    <w:rsid w:val="009A6ECF"/>
    <w:rsid w:val="009B24EC"/>
    <w:rsid w:val="009B3463"/>
    <w:rsid w:val="009B4E78"/>
    <w:rsid w:val="009B512C"/>
    <w:rsid w:val="009C0044"/>
    <w:rsid w:val="009C3998"/>
    <w:rsid w:val="009D0C1E"/>
    <w:rsid w:val="009E1138"/>
    <w:rsid w:val="009E3F83"/>
    <w:rsid w:val="009F10EB"/>
    <w:rsid w:val="009F2FE8"/>
    <w:rsid w:val="009F3B97"/>
    <w:rsid w:val="009F3BC6"/>
    <w:rsid w:val="00A00ED4"/>
    <w:rsid w:val="00A02446"/>
    <w:rsid w:val="00A07460"/>
    <w:rsid w:val="00A13910"/>
    <w:rsid w:val="00A13D40"/>
    <w:rsid w:val="00A23849"/>
    <w:rsid w:val="00A2548E"/>
    <w:rsid w:val="00A3380E"/>
    <w:rsid w:val="00A373C6"/>
    <w:rsid w:val="00A413E6"/>
    <w:rsid w:val="00A459D6"/>
    <w:rsid w:val="00A5044C"/>
    <w:rsid w:val="00A56F78"/>
    <w:rsid w:val="00A61775"/>
    <w:rsid w:val="00A6439C"/>
    <w:rsid w:val="00A64700"/>
    <w:rsid w:val="00A67DDB"/>
    <w:rsid w:val="00A710E3"/>
    <w:rsid w:val="00A81281"/>
    <w:rsid w:val="00A90500"/>
    <w:rsid w:val="00A90781"/>
    <w:rsid w:val="00A96B3C"/>
    <w:rsid w:val="00AA08FE"/>
    <w:rsid w:val="00AA1E3A"/>
    <w:rsid w:val="00AB0875"/>
    <w:rsid w:val="00AB15E6"/>
    <w:rsid w:val="00AB4154"/>
    <w:rsid w:val="00AB5FA7"/>
    <w:rsid w:val="00AC1743"/>
    <w:rsid w:val="00AC66AB"/>
    <w:rsid w:val="00AD13AE"/>
    <w:rsid w:val="00AD5A95"/>
    <w:rsid w:val="00AE07D6"/>
    <w:rsid w:val="00AE15D1"/>
    <w:rsid w:val="00AE23B4"/>
    <w:rsid w:val="00AE3A3F"/>
    <w:rsid w:val="00AE4260"/>
    <w:rsid w:val="00AE4AA1"/>
    <w:rsid w:val="00AE4F5E"/>
    <w:rsid w:val="00AF4432"/>
    <w:rsid w:val="00B04E97"/>
    <w:rsid w:val="00B117E4"/>
    <w:rsid w:val="00B24087"/>
    <w:rsid w:val="00B2580B"/>
    <w:rsid w:val="00B30155"/>
    <w:rsid w:val="00B30DA5"/>
    <w:rsid w:val="00B33087"/>
    <w:rsid w:val="00B374C0"/>
    <w:rsid w:val="00B41246"/>
    <w:rsid w:val="00B42440"/>
    <w:rsid w:val="00B432AC"/>
    <w:rsid w:val="00B44656"/>
    <w:rsid w:val="00B5297D"/>
    <w:rsid w:val="00B52FDD"/>
    <w:rsid w:val="00B55665"/>
    <w:rsid w:val="00B60497"/>
    <w:rsid w:val="00B655EC"/>
    <w:rsid w:val="00B670CB"/>
    <w:rsid w:val="00B70984"/>
    <w:rsid w:val="00B76B94"/>
    <w:rsid w:val="00B81675"/>
    <w:rsid w:val="00B82B88"/>
    <w:rsid w:val="00B8651F"/>
    <w:rsid w:val="00B87ADE"/>
    <w:rsid w:val="00B914A9"/>
    <w:rsid w:val="00B91890"/>
    <w:rsid w:val="00B9211F"/>
    <w:rsid w:val="00B92C58"/>
    <w:rsid w:val="00B93EB6"/>
    <w:rsid w:val="00B9615A"/>
    <w:rsid w:val="00BA093F"/>
    <w:rsid w:val="00BA41EA"/>
    <w:rsid w:val="00BA422D"/>
    <w:rsid w:val="00BA7CE5"/>
    <w:rsid w:val="00BB14DB"/>
    <w:rsid w:val="00BC39A8"/>
    <w:rsid w:val="00BC4FA7"/>
    <w:rsid w:val="00BC5680"/>
    <w:rsid w:val="00BC5D47"/>
    <w:rsid w:val="00BC7C70"/>
    <w:rsid w:val="00BD4812"/>
    <w:rsid w:val="00BE68C3"/>
    <w:rsid w:val="00BF1B7F"/>
    <w:rsid w:val="00BF2B42"/>
    <w:rsid w:val="00BF4340"/>
    <w:rsid w:val="00C0686B"/>
    <w:rsid w:val="00C11193"/>
    <w:rsid w:val="00C13A26"/>
    <w:rsid w:val="00C144A6"/>
    <w:rsid w:val="00C22965"/>
    <w:rsid w:val="00C234A9"/>
    <w:rsid w:val="00C23795"/>
    <w:rsid w:val="00C24585"/>
    <w:rsid w:val="00C3055E"/>
    <w:rsid w:val="00C33CF7"/>
    <w:rsid w:val="00C5061E"/>
    <w:rsid w:val="00C5201B"/>
    <w:rsid w:val="00C5483A"/>
    <w:rsid w:val="00C57397"/>
    <w:rsid w:val="00C579F1"/>
    <w:rsid w:val="00C61AEA"/>
    <w:rsid w:val="00C75F80"/>
    <w:rsid w:val="00C81118"/>
    <w:rsid w:val="00C82C3D"/>
    <w:rsid w:val="00C84413"/>
    <w:rsid w:val="00C84BC2"/>
    <w:rsid w:val="00C91F7D"/>
    <w:rsid w:val="00C95A8D"/>
    <w:rsid w:val="00CA018F"/>
    <w:rsid w:val="00CA1FFB"/>
    <w:rsid w:val="00CA3DB6"/>
    <w:rsid w:val="00CB1156"/>
    <w:rsid w:val="00CB2A0C"/>
    <w:rsid w:val="00CB380B"/>
    <w:rsid w:val="00CC6C92"/>
    <w:rsid w:val="00CC7D50"/>
    <w:rsid w:val="00CD0FB0"/>
    <w:rsid w:val="00CE1F53"/>
    <w:rsid w:val="00CE61D3"/>
    <w:rsid w:val="00CF0AA9"/>
    <w:rsid w:val="00CF1CA0"/>
    <w:rsid w:val="00CF3BB0"/>
    <w:rsid w:val="00CF3F35"/>
    <w:rsid w:val="00D00D3C"/>
    <w:rsid w:val="00D06A04"/>
    <w:rsid w:val="00D072B3"/>
    <w:rsid w:val="00D07C5C"/>
    <w:rsid w:val="00D11499"/>
    <w:rsid w:val="00D11E50"/>
    <w:rsid w:val="00D1509F"/>
    <w:rsid w:val="00D16E9E"/>
    <w:rsid w:val="00D2035E"/>
    <w:rsid w:val="00D23AB4"/>
    <w:rsid w:val="00D30896"/>
    <w:rsid w:val="00D3370C"/>
    <w:rsid w:val="00D33B88"/>
    <w:rsid w:val="00D377C1"/>
    <w:rsid w:val="00D52D5E"/>
    <w:rsid w:val="00D5561F"/>
    <w:rsid w:val="00D56EA7"/>
    <w:rsid w:val="00D73E7D"/>
    <w:rsid w:val="00D76E76"/>
    <w:rsid w:val="00D84F15"/>
    <w:rsid w:val="00D94237"/>
    <w:rsid w:val="00DA43F0"/>
    <w:rsid w:val="00DB17B1"/>
    <w:rsid w:val="00DB1EBC"/>
    <w:rsid w:val="00DC1365"/>
    <w:rsid w:val="00DC19FC"/>
    <w:rsid w:val="00DC1F00"/>
    <w:rsid w:val="00DC2111"/>
    <w:rsid w:val="00DC3C61"/>
    <w:rsid w:val="00DC4015"/>
    <w:rsid w:val="00DC7429"/>
    <w:rsid w:val="00DD7888"/>
    <w:rsid w:val="00DE03A8"/>
    <w:rsid w:val="00DE1EC2"/>
    <w:rsid w:val="00DF20FD"/>
    <w:rsid w:val="00DF34AF"/>
    <w:rsid w:val="00DF44A2"/>
    <w:rsid w:val="00DF44AC"/>
    <w:rsid w:val="00DF7010"/>
    <w:rsid w:val="00E01A38"/>
    <w:rsid w:val="00E0355B"/>
    <w:rsid w:val="00E062A3"/>
    <w:rsid w:val="00E179E9"/>
    <w:rsid w:val="00E228AB"/>
    <w:rsid w:val="00E22DD0"/>
    <w:rsid w:val="00E240B7"/>
    <w:rsid w:val="00E26811"/>
    <w:rsid w:val="00E30144"/>
    <w:rsid w:val="00E305F7"/>
    <w:rsid w:val="00E30C67"/>
    <w:rsid w:val="00E35B30"/>
    <w:rsid w:val="00E36A72"/>
    <w:rsid w:val="00E448BB"/>
    <w:rsid w:val="00E47F15"/>
    <w:rsid w:val="00E541C0"/>
    <w:rsid w:val="00E62015"/>
    <w:rsid w:val="00E6468B"/>
    <w:rsid w:val="00E74BBC"/>
    <w:rsid w:val="00E74D45"/>
    <w:rsid w:val="00E82B3F"/>
    <w:rsid w:val="00E85D17"/>
    <w:rsid w:val="00E92015"/>
    <w:rsid w:val="00E9322E"/>
    <w:rsid w:val="00E93A42"/>
    <w:rsid w:val="00E94BB2"/>
    <w:rsid w:val="00E952F0"/>
    <w:rsid w:val="00EA3540"/>
    <w:rsid w:val="00EA50BD"/>
    <w:rsid w:val="00EA678C"/>
    <w:rsid w:val="00EB0BD4"/>
    <w:rsid w:val="00EB3D2E"/>
    <w:rsid w:val="00EB6883"/>
    <w:rsid w:val="00EC169A"/>
    <w:rsid w:val="00EC1E82"/>
    <w:rsid w:val="00ED014B"/>
    <w:rsid w:val="00ED3355"/>
    <w:rsid w:val="00ED6311"/>
    <w:rsid w:val="00F00069"/>
    <w:rsid w:val="00F0096E"/>
    <w:rsid w:val="00F03107"/>
    <w:rsid w:val="00F07110"/>
    <w:rsid w:val="00F07CBC"/>
    <w:rsid w:val="00F118E0"/>
    <w:rsid w:val="00F151C8"/>
    <w:rsid w:val="00F3157D"/>
    <w:rsid w:val="00F3725C"/>
    <w:rsid w:val="00F37A68"/>
    <w:rsid w:val="00F41A83"/>
    <w:rsid w:val="00F4584C"/>
    <w:rsid w:val="00F47D4C"/>
    <w:rsid w:val="00F5437E"/>
    <w:rsid w:val="00F54B33"/>
    <w:rsid w:val="00F600B6"/>
    <w:rsid w:val="00F639DA"/>
    <w:rsid w:val="00F63A7F"/>
    <w:rsid w:val="00F6618B"/>
    <w:rsid w:val="00F663D7"/>
    <w:rsid w:val="00F6707B"/>
    <w:rsid w:val="00F672DF"/>
    <w:rsid w:val="00F67835"/>
    <w:rsid w:val="00F80171"/>
    <w:rsid w:val="00F82E56"/>
    <w:rsid w:val="00F922F2"/>
    <w:rsid w:val="00F95123"/>
    <w:rsid w:val="00F97386"/>
    <w:rsid w:val="00F97AC3"/>
    <w:rsid w:val="00FA2438"/>
    <w:rsid w:val="00FA6716"/>
    <w:rsid w:val="00FA79B0"/>
    <w:rsid w:val="00FB111C"/>
    <w:rsid w:val="00FB19B7"/>
    <w:rsid w:val="00FB1A01"/>
    <w:rsid w:val="00FB2B3E"/>
    <w:rsid w:val="00FB2F80"/>
    <w:rsid w:val="00FB3C5D"/>
    <w:rsid w:val="00FC50B6"/>
    <w:rsid w:val="00FC6771"/>
    <w:rsid w:val="00FC6E92"/>
    <w:rsid w:val="00FD061A"/>
    <w:rsid w:val="00FD6366"/>
    <w:rsid w:val="00FE238F"/>
    <w:rsid w:val="00FE61AB"/>
    <w:rsid w:val="00FE6BB6"/>
    <w:rsid w:val="00FF0D87"/>
    <w:rsid w:val="00FF3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533FC43"/>
  <w15:docId w15:val="{03DCA47B-98FD-408D-B6EB-0B0137C36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207A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af">
    <w:name w:val="af"/>
    <w:rPr>
      <w:rFonts w:ascii="Arial" w:hAnsi="Arial"/>
      <w:sz w:val="20"/>
      <w:szCs w:val="20"/>
      <w:lang w:val="en-US"/>
    </w:rPr>
  </w:style>
  <w:style w:type="paragraph" w:customStyle="1" w:styleId="dt">
    <w:name w:val="dt"/>
    <w:pPr>
      <w:spacing w:before="100" w:after="100"/>
    </w:pPr>
    <w:rPr>
      <w:rFonts w:cs="Arial Unicode MS"/>
      <w:color w:val="000000"/>
      <w:sz w:val="24"/>
      <w:szCs w:val="24"/>
      <w:u w:color="000000"/>
      <w:lang w:val="en-US"/>
    </w:rPr>
  </w:style>
  <w:style w:type="paragraph" w:customStyle="1" w:styleId="cz">
    <w:name w:val="cz"/>
    <w:pPr>
      <w:spacing w:before="100" w:after="100"/>
    </w:pPr>
    <w:rPr>
      <w:rFonts w:eastAsia="Times New Roman"/>
      <w:color w:val="000000"/>
      <w:sz w:val="24"/>
      <w:szCs w:val="24"/>
      <w:u w:color="000000"/>
      <w:lang w:val="en-US"/>
    </w:rPr>
  </w:style>
  <w:style w:type="paragraph" w:customStyle="1" w:styleId="du">
    <w:name w:val="du"/>
    <w:pPr>
      <w:spacing w:before="100" w:after="100"/>
    </w:pPr>
    <w:rPr>
      <w:rFonts w:cs="Arial Unicode MS"/>
      <w:color w:val="000000"/>
      <w:sz w:val="24"/>
      <w:szCs w:val="24"/>
      <w:u w:color="000000"/>
      <w:lang w:val="en-US"/>
    </w:rPr>
  </w:style>
  <w:style w:type="paragraph" w:customStyle="1" w:styleId="bj">
    <w:name w:val="bj"/>
    <w:pPr>
      <w:jc w:val="both"/>
    </w:pPr>
    <w:rPr>
      <w:rFonts w:ascii="Calibri" w:eastAsia="Calibri" w:hAnsi="Calibri" w:cs="Calibri"/>
      <w:color w:val="000000"/>
      <w:sz w:val="22"/>
      <w:szCs w:val="22"/>
      <w:u w:color="000000"/>
      <w:lang w:val="en-US"/>
    </w:rPr>
  </w:style>
  <w:style w:type="paragraph" w:styleId="BalloonText">
    <w:name w:val="Balloon Text"/>
    <w:basedOn w:val="Normal"/>
    <w:link w:val="BalloonTextChar"/>
    <w:uiPriority w:val="99"/>
    <w:semiHidden/>
    <w:unhideWhenUsed/>
    <w:rsid w:val="009E11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138"/>
    <w:rPr>
      <w:rFonts w:ascii="Segoe UI" w:hAnsi="Segoe UI" w:cs="Segoe UI"/>
      <w:sz w:val="18"/>
      <w:szCs w:val="18"/>
      <w:lang w:val="en-US" w:eastAsia="en-US"/>
    </w:rPr>
  </w:style>
  <w:style w:type="paragraph" w:styleId="Revision">
    <w:name w:val="Revision"/>
    <w:hidden/>
    <w:uiPriority w:val="99"/>
    <w:semiHidden/>
    <w:rsid w:val="00CF3BB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Date">
    <w:name w:val="Date"/>
    <w:basedOn w:val="Normal"/>
    <w:next w:val="Normal"/>
    <w:link w:val="DateChar"/>
    <w:uiPriority w:val="99"/>
    <w:semiHidden/>
    <w:unhideWhenUsed/>
    <w:rsid w:val="00E062A3"/>
  </w:style>
  <w:style w:type="character" w:customStyle="1" w:styleId="DateChar">
    <w:name w:val="Date Char"/>
    <w:basedOn w:val="DefaultParagraphFont"/>
    <w:link w:val="Date"/>
    <w:uiPriority w:val="99"/>
    <w:semiHidden/>
    <w:rsid w:val="00E062A3"/>
    <w:rPr>
      <w:sz w:val="24"/>
      <w:szCs w:val="24"/>
      <w:lang w:val="en-US" w:eastAsia="en-US"/>
    </w:rPr>
  </w:style>
  <w:style w:type="paragraph" w:styleId="CommentText">
    <w:name w:val="annotation text"/>
    <w:basedOn w:val="Normal"/>
    <w:link w:val="CommentTextChar"/>
    <w:uiPriority w:val="99"/>
    <w:semiHidden/>
    <w:unhideWhenUsed/>
    <w:rsid w:val="00E062A3"/>
    <w:rPr>
      <w:sz w:val="20"/>
      <w:szCs w:val="20"/>
    </w:rPr>
  </w:style>
  <w:style w:type="character" w:customStyle="1" w:styleId="CommentTextChar">
    <w:name w:val="Comment Text Char"/>
    <w:basedOn w:val="DefaultParagraphFont"/>
    <w:link w:val="CommentText"/>
    <w:uiPriority w:val="99"/>
    <w:semiHidden/>
    <w:rsid w:val="00E062A3"/>
    <w:rPr>
      <w:lang w:val="en-US" w:eastAsia="en-US"/>
    </w:rPr>
  </w:style>
  <w:style w:type="character" w:styleId="CommentReference">
    <w:name w:val="annotation reference"/>
    <w:uiPriority w:val="99"/>
    <w:semiHidden/>
    <w:unhideWhenUsed/>
    <w:rsid w:val="00E062A3"/>
    <w:rPr>
      <w:sz w:val="16"/>
      <w:szCs w:val="16"/>
    </w:rPr>
  </w:style>
  <w:style w:type="paragraph" w:styleId="Header">
    <w:name w:val="header"/>
    <w:basedOn w:val="Normal"/>
    <w:link w:val="HeaderChar"/>
    <w:uiPriority w:val="99"/>
    <w:unhideWhenUsed/>
    <w:rsid w:val="00945A06"/>
    <w:pPr>
      <w:tabs>
        <w:tab w:val="center" w:pos="4513"/>
        <w:tab w:val="right" w:pos="9026"/>
      </w:tabs>
    </w:pPr>
  </w:style>
  <w:style w:type="character" w:customStyle="1" w:styleId="HeaderChar">
    <w:name w:val="Header Char"/>
    <w:basedOn w:val="DefaultParagraphFont"/>
    <w:link w:val="Header"/>
    <w:uiPriority w:val="99"/>
    <w:rsid w:val="00945A06"/>
    <w:rPr>
      <w:sz w:val="24"/>
      <w:szCs w:val="24"/>
      <w:lang w:val="en-US" w:eastAsia="en-US"/>
    </w:rPr>
  </w:style>
  <w:style w:type="paragraph" w:styleId="Footer">
    <w:name w:val="footer"/>
    <w:basedOn w:val="Normal"/>
    <w:link w:val="FooterChar"/>
    <w:uiPriority w:val="99"/>
    <w:unhideWhenUsed/>
    <w:rsid w:val="00945A06"/>
    <w:pPr>
      <w:tabs>
        <w:tab w:val="center" w:pos="4513"/>
        <w:tab w:val="right" w:pos="9026"/>
      </w:tabs>
    </w:pPr>
  </w:style>
  <w:style w:type="character" w:customStyle="1" w:styleId="FooterChar">
    <w:name w:val="Footer Char"/>
    <w:basedOn w:val="DefaultParagraphFont"/>
    <w:link w:val="Footer"/>
    <w:uiPriority w:val="99"/>
    <w:rsid w:val="00945A06"/>
    <w:rPr>
      <w:sz w:val="24"/>
      <w:szCs w:val="24"/>
      <w:lang w:val="en-US" w:eastAsia="en-US"/>
    </w:rPr>
  </w:style>
  <w:style w:type="paragraph" w:styleId="ListParagraph">
    <w:name w:val="List Paragraph"/>
    <w:basedOn w:val="Normal"/>
    <w:uiPriority w:val="34"/>
    <w:qFormat/>
    <w:rsid w:val="0011148B"/>
    <w:pPr>
      <w:ind w:left="720"/>
      <w:contextualSpacing/>
    </w:pPr>
  </w:style>
  <w:style w:type="paragraph" w:styleId="CommentSubject">
    <w:name w:val="annotation subject"/>
    <w:basedOn w:val="CommentText"/>
    <w:next w:val="CommentText"/>
    <w:link w:val="CommentSubjectChar"/>
    <w:uiPriority w:val="99"/>
    <w:semiHidden/>
    <w:unhideWhenUsed/>
    <w:rsid w:val="00101358"/>
    <w:rPr>
      <w:b/>
      <w:bCs/>
    </w:rPr>
  </w:style>
  <w:style w:type="character" w:customStyle="1" w:styleId="CommentSubjectChar">
    <w:name w:val="Comment Subject Char"/>
    <w:basedOn w:val="CommentTextChar"/>
    <w:link w:val="CommentSubject"/>
    <w:uiPriority w:val="99"/>
    <w:semiHidden/>
    <w:rsid w:val="00101358"/>
    <w:rPr>
      <w:b/>
      <w:bCs/>
      <w:lang w:val="en-US" w:eastAsia="en-US"/>
    </w:rPr>
  </w:style>
  <w:style w:type="paragraph" w:customStyle="1" w:styleId="gj">
    <w:name w:val="gj"/>
    <w:basedOn w:val="Normal"/>
    <w:rsid w:val="001857B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fo">
    <w:name w:val="fo"/>
    <w:basedOn w:val="DefaultParagraphFont"/>
    <w:rsid w:val="001857BF"/>
  </w:style>
  <w:style w:type="paragraph" w:customStyle="1" w:styleId="gg">
    <w:name w:val="gg"/>
    <w:basedOn w:val="Normal"/>
    <w:rsid w:val="001857B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hi">
    <w:name w:val="hi"/>
    <w:basedOn w:val="Normal"/>
    <w:rsid w:val="001857B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gc">
    <w:name w:val="gc"/>
    <w:basedOn w:val="DefaultParagraphFont"/>
    <w:rsid w:val="001857BF"/>
  </w:style>
  <w:style w:type="paragraph" w:customStyle="1" w:styleId="hd">
    <w:name w:val="hd"/>
    <w:basedOn w:val="Normal"/>
    <w:rsid w:val="001857B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ga">
    <w:name w:val="ga"/>
    <w:basedOn w:val="DefaultParagraphFont"/>
    <w:rsid w:val="001857BF"/>
  </w:style>
  <w:style w:type="paragraph" w:customStyle="1" w:styleId="he">
    <w:name w:val="he"/>
    <w:basedOn w:val="Normal"/>
    <w:rsid w:val="001857B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gp">
    <w:name w:val="gp"/>
    <w:basedOn w:val="Normal"/>
    <w:rsid w:val="001857B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hk">
    <w:name w:val="hk"/>
    <w:basedOn w:val="Normal"/>
    <w:rsid w:val="001857B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hl">
    <w:name w:val="hl"/>
    <w:basedOn w:val="Normal"/>
    <w:rsid w:val="001857B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fe">
    <w:name w:val="fe"/>
    <w:basedOn w:val="DefaultParagraphFont"/>
    <w:rsid w:val="001857BF"/>
  </w:style>
  <w:style w:type="paragraph" w:customStyle="1" w:styleId="gq">
    <w:name w:val="gq"/>
    <w:basedOn w:val="Normal"/>
    <w:rsid w:val="001857B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bn">
    <w:name w:val="bn"/>
    <w:basedOn w:val="DefaultParagraphFont"/>
    <w:rsid w:val="001857BF"/>
  </w:style>
  <w:style w:type="paragraph" w:customStyle="1" w:styleId="hf">
    <w:name w:val="hf"/>
    <w:basedOn w:val="Normal"/>
    <w:rsid w:val="002F014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gx">
    <w:name w:val="gx"/>
    <w:basedOn w:val="DefaultParagraphFont"/>
    <w:rsid w:val="002F0145"/>
  </w:style>
  <w:style w:type="character" w:customStyle="1" w:styleId="gz">
    <w:name w:val="gz"/>
    <w:basedOn w:val="DefaultParagraphFont"/>
    <w:rsid w:val="002F0145"/>
  </w:style>
  <w:style w:type="character" w:customStyle="1" w:styleId="gy">
    <w:name w:val="gy"/>
    <w:basedOn w:val="DefaultParagraphFont"/>
    <w:rsid w:val="002F0145"/>
  </w:style>
  <w:style w:type="paragraph" w:customStyle="1" w:styleId="hg">
    <w:name w:val="hg"/>
    <w:basedOn w:val="Normal"/>
    <w:rsid w:val="002F014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ha">
    <w:name w:val="ha"/>
    <w:basedOn w:val="DefaultParagraphFont"/>
    <w:rsid w:val="002F0145"/>
  </w:style>
  <w:style w:type="paragraph" w:customStyle="1" w:styleId="hh">
    <w:name w:val="hh"/>
    <w:basedOn w:val="Normal"/>
    <w:rsid w:val="002F014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gu">
    <w:name w:val="gu"/>
    <w:basedOn w:val="DefaultParagraphFont"/>
    <w:rsid w:val="002F0145"/>
  </w:style>
  <w:style w:type="paragraph" w:customStyle="1" w:styleId="hj">
    <w:name w:val="hj"/>
    <w:basedOn w:val="Normal"/>
    <w:rsid w:val="002F014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Default">
    <w:name w:val="Default"/>
    <w:rsid w:val="002F014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semiHidden/>
    <w:unhideWhenUsed/>
    <w:rsid w:val="00F639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lang w:val="en-GB"/>
    </w:rPr>
  </w:style>
  <w:style w:type="character" w:customStyle="1" w:styleId="FootnoteTextChar">
    <w:name w:val="Footnote Text Char"/>
    <w:basedOn w:val="DefaultParagraphFont"/>
    <w:link w:val="FootnoteText"/>
    <w:uiPriority w:val="99"/>
    <w:semiHidden/>
    <w:rsid w:val="00F639DA"/>
    <w:rPr>
      <w:rFonts w:ascii="Calibri" w:eastAsia="Calibri" w:hAnsi="Calibri"/>
      <w:bdr w:val="none" w:sz="0" w:space="0" w:color="auto"/>
      <w:lang w:eastAsia="en-US"/>
    </w:rPr>
  </w:style>
  <w:style w:type="character" w:styleId="FootnoteReference">
    <w:name w:val="footnote reference"/>
    <w:uiPriority w:val="99"/>
    <w:semiHidden/>
    <w:unhideWhenUsed/>
    <w:rsid w:val="00F639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587258">
      <w:bodyDiv w:val="1"/>
      <w:marLeft w:val="0"/>
      <w:marRight w:val="0"/>
      <w:marTop w:val="0"/>
      <w:marBottom w:val="0"/>
      <w:divBdr>
        <w:top w:val="none" w:sz="0" w:space="0" w:color="auto"/>
        <w:left w:val="none" w:sz="0" w:space="0" w:color="auto"/>
        <w:bottom w:val="none" w:sz="0" w:space="0" w:color="auto"/>
        <w:right w:val="none" w:sz="0" w:space="0" w:color="auto"/>
      </w:divBdr>
    </w:div>
    <w:div w:id="1277755911">
      <w:bodyDiv w:val="1"/>
      <w:marLeft w:val="0"/>
      <w:marRight w:val="0"/>
      <w:marTop w:val="0"/>
      <w:marBottom w:val="0"/>
      <w:divBdr>
        <w:top w:val="none" w:sz="0" w:space="0" w:color="auto"/>
        <w:left w:val="none" w:sz="0" w:space="0" w:color="auto"/>
        <w:bottom w:val="none" w:sz="0" w:space="0" w:color="auto"/>
        <w:right w:val="none" w:sz="0" w:space="0" w:color="auto"/>
      </w:divBdr>
    </w:div>
    <w:div w:id="1472597569">
      <w:bodyDiv w:val="1"/>
      <w:marLeft w:val="0"/>
      <w:marRight w:val="0"/>
      <w:marTop w:val="0"/>
      <w:marBottom w:val="0"/>
      <w:divBdr>
        <w:top w:val="none" w:sz="0" w:space="0" w:color="auto"/>
        <w:left w:val="none" w:sz="0" w:space="0" w:color="auto"/>
        <w:bottom w:val="none" w:sz="0" w:space="0" w:color="auto"/>
        <w:right w:val="none" w:sz="0" w:space="0" w:color="auto"/>
      </w:divBdr>
    </w:div>
    <w:div w:id="1665667742">
      <w:bodyDiv w:val="1"/>
      <w:marLeft w:val="0"/>
      <w:marRight w:val="0"/>
      <w:marTop w:val="0"/>
      <w:marBottom w:val="0"/>
      <w:divBdr>
        <w:top w:val="none" w:sz="0" w:space="0" w:color="auto"/>
        <w:left w:val="none" w:sz="0" w:space="0" w:color="auto"/>
        <w:bottom w:val="none" w:sz="0" w:space="0" w:color="auto"/>
        <w:right w:val="none" w:sz="0" w:space="0" w:color="auto"/>
      </w:divBdr>
    </w:div>
    <w:div w:id="1914774775">
      <w:bodyDiv w:val="1"/>
      <w:marLeft w:val="0"/>
      <w:marRight w:val="0"/>
      <w:marTop w:val="0"/>
      <w:marBottom w:val="0"/>
      <w:divBdr>
        <w:top w:val="none" w:sz="0" w:space="0" w:color="auto"/>
        <w:left w:val="none" w:sz="0" w:space="0" w:color="auto"/>
        <w:bottom w:val="none" w:sz="0" w:space="0" w:color="auto"/>
        <w:right w:val="none" w:sz="0" w:space="0" w:color="auto"/>
      </w:divBdr>
    </w:div>
    <w:div w:id="2048529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50418-3618-4C1C-9673-DE9BDC57E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4036</Words>
  <Characters>23010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Winters</dc:creator>
  <cp:keywords/>
  <dc:description/>
  <cp:lastModifiedBy>Ann Hyams</cp:lastModifiedBy>
  <cp:revision>2</cp:revision>
  <cp:lastPrinted>2019-07-22T09:57:00Z</cp:lastPrinted>
  <dcterms:created xsi:type="dcterms:W3CDTF">2022-11-29T14:58:00Z</dcterms:created>
  <dcterms:modified xsi:type="dcterms:W3CDTF">2022-11-29T14:58:00Z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c79d4a-8636-4734-9a24-702408a372e1_Enabled">
    <vt:lpwstr>True</vt:lpwstr>
  </property>
  <property fmtid="{D5CDD505-2E9C-101B-9397-08002B2CF9AE}" pid="3" name="MSIP_Label_bec79d4a-8636-4734-9a24-702408a372e1_SiteId">
    <vt:lpwstr>6d6a11bc-469a-48df-a548-d3f353ac1be8</vt:lpwstr>
  </property>
  <property fmtid="{D5CDD505-2E9C-101B-9397-08002B2CF9AE}" pid="4" name="MSIP_Label_bec79d4a-8636-4734-9a24-702408a372e1_Ref">
    <vt:lpwstr>https://api.informationprotection.azure.com/api/6d6a11bc-469a-48df-a548-d3f353ac1be8</vt:lpwstr>
  </property>
  <property fmtid="{D5CDD505-2E9C-101B-9397-08002B2CF9AE}" pid="5" name="MSIP_Label_bec79d4a-8636-4734-9a24-702408a372e1_Owner">
    <vt:lpwstr>Alex.Wright@investec.co.uk</vt:lpwstr>
  </property>
  <property fmtid="{D5CDD505-2E9C-101B-9397-08002B2CF9AE}" pid="6" name="MSIP_Label_bec79d4a-8636-4734-9a24-702408a372e1_SetDate">
    <vt:lpwstr>2018-03-06T01:13:53.5499875+00:00</vt:lpwstr>
  </property>
  <property fmtid="{D5CDD505-2E9C-101B-9397-08002B2CF9AE}" pid="7" name="MSIP_Label_bec79d4a-8636-4734-9a24-702408a372e1_Name">
    <vt:lpwstr>Investec Confidential</vt:lpwstr>
  </property>
  <property fmtid="{D5CDD505-2E9C-101B-9397-08002B2CF9AE}" pid="8" name="MSIP_Label_bec79d4a-8636-4734-9a24-702408a372e1_Application">
    <vt:lpwstr>Microsoft Azure Information Protection</vt:lpwstr>
  </property>
  <property fmtid="{D5CDD505-2E9C-101B-9397-08002B2CF9AE}" pid="9" name="MSIP_Label_bec79d4a-8636-4734-9a24-702408a372e1_Extended_MSFT_Method">
    <vt:lpwstr>Manual</vt:lpwstr>
  </property>
  <property fmtid="{D5CDD505-2E9C-101B-9397-08002B2CF9AE}" pid="10" name="MSIP_Label_a1296585-da7d-4204-8cdb-19d78d403c9c_Enabled">
    <vt:lpwstr>True</vt:lpwstr>
  </property>
  <property fmtid="{D5CDD505-2E9C-101B-9397-08002B2CF9AE}" pid="11" name="MSIP_Label_a1296585-da7d-4204-8cdb-19d78d403c9c_SiteId">
    <vt:lpwstr>6d6a11bc-469a-48df-a548-d3f353ac1be8</vt:lpwstr>
  </property>
  <property fmtid="{D5CDD505-2E9C-101B-9397-08002B2CF9AE}" pid="12" name="MSIP_Label_a1296585-da7d-4204-8cdb-19d78d403c9c_Ref">
    <vt:lpwstr>https://api.informationprotection.azure.com/api/6d6a11bc-469a-48df-a548-d3f353ac1be8</vt:lpwstr>
  </property>
  <property fmtid="{D5CDD505-2E9C-101B-9397-08002B2CF9AE}" pid="13" name="MSIP_Label_a1296585-da7d-4204-8cdb-19d78d403c9c_Owner">
    <vt:lpwstr>Alex.Wright@investec.co.uk</vt:lpwstr>
  </property>
  <property fmtid="{D5CDD505-2E9C-101B-9397-08002B2CF9AE}" pid="14" name="MSIP_Label_a1296585-da7d-4204-8cdb-19d78d403c9c_SetDate">
    <vt:lpwstr>2018-03-06T01:13:53.5509876+00:00</vt:lpwstr>
  </property>
  <property fmtid="{D5CDD505-2E9C-101B-9397-08002B2CF9AE}" pid="15" name="MSIP_Label_a1296585-da7d-4204-8cdb-19d78d403c9c_Name">
    <vt:lpwstr>No Markings</vt:lpwstr>
  </property>
  <property fmtid="{D5CDD505-2E9C-101B-9397-08002B2CF9AE}" pid="16" name="MSIP_Label_a1296585-da7d-4204-8cdb-19d78d403c9c_Application">
    <vt:lpwstr>Microsoft Azure Information Protection</vt:lpwstr>
  </property>
  <property fmtid="{D5CDD505-2E9C-101B-9397-08002B2CF9AE}" pid="17" name="MSIP_Label_a1296585-da7d-4204-8cdb-19d78d403c9c_Extended_MSFT_Method">
    <vt:lpwstr>Manual</vt:lpwstr>
  </property>
  <property fmtid="{D5CDD505-2E9C-101B-9397-08002B2CF9AE}" pid="18" name="MSIP_Label_a1296585-da7d-4204-8cdb-19d78d403c9c_Parent">
    <vt:lpwstr>bec79d4a-8636-4734-9a24-702408a372e1</vt:lpwstr>
  </property>
  <property fmtid="{D5CDD505-2E9C-101B-9397-08002B2CF9AE}" pid="19" name="Sensitivity">
    <vt:lpwstr>Investec Confidential No Markings</vt:lpwstr>
  </property>
  <property fmtid="{D5CDD505-2E9C-101B-9397-08002B2CF9AE}" pid="20" name="PSLTemplateName">
    <vt:lpwstr>Normal</vt:lpwstr>
  </property>
</Properties>
</file>